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DDEB" w14:textId="34DD1696" w:rsidR="00FD3A85" w:rsidRPr="00E2149B" w:rsidRDefault="00A92A06">
      <w:r w:rsidRPr="00E2149B">
        <w:rPr>
          <w:noProof/>
          <w:color w:val="2B579A"/>
          <w:szCs w:val="60"/>
          <w:shd w:val="clear" w:color="auto" w:fill="E6E6E6"/>
        </w:rPr>
        <w:drawing>
          <wp:anchor distT="0" distB="0" distL="114300" distR="114300" simplePos="0" relativeHeight="251658240" behindDoc="0" locked="0" layoutInCell="1" allowOverlap="1" wp14:anchorId="0D59AF4D" wp14:editId="4FD1CFD4">
            <wp:simplePos x="0" y="0"/>
            <wp:positionH relativeFrom="column">
              <wp:posOffset>7655265</wp:posOffset>
            </wp:positionH>
            <wp:positionV relativeFrom="paragraph">
              <wp:posOffset>-371948</wp:posOffset>
            </wp:positionV>
            <wp:extent cx="1509823" cy="366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9823"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6D53DF" w14:textId="2E3779A4" w:rsidR="00C8744A" w:rsidRPr="00E2149B" w:rsidRDefault="00C8744A" w:rsidP="00C8744A"/>
    <w:p w14:paraId="21424413" w14:textId="063A48EC" w:rsidR="00C8744A" w:rsidRPr="00E2149B" w:rsidRDefault="00C8744A" w:rsidP="00C8744A"/>
    <w:p w14:paraId="0B8AFC9D" w14:textId="6E09CCF4" w:rsidR="00C8744A" w:rsidRPr="00E2149B" w:rsidRDefault="00C8744A" w:rsidP="00C8744A"/>
    <w:p w14:paraId="470D4460" w14:textId="6304F163" w:rsidR="00C8744A" w:rsidRPr="00E2149B" w:rsidRDefault="00C8744A" w:rsidP="00C8744A"/>
    <w:p w14:paraId="4FAD4CFD" w14:textId="466F6093" w:rsidR="00C8744A" w:rsidRPr="00E2149B" w:rsidRDefault="00C8744A" w:rsidP="00C8744A"/>
    <w:p w14:paraId="39D8B900" w14:textId="4A3E076C" w:rsidR="00C8744A" w:rsidRPr="00E2149B" w:rsidRDefault="00C8744A" w:rsidP="00C8744A"/>
    <w:p w14:paraId="48AF8C95" w14:textId="11B0FB83" w:rsidR="00C8744A" w:rsidRPr="00E2149B" w:rsidRDefault="00C8744A" w:rsidP="00C8744A"/>
    <w:p w14:paraId="4DAD79BA" w14:textId="1323A3B3" w:rsidR="00C8744A" w:rsidRPr="00E2149B" w:rsidRDefault="00C8744A" w:rsidP="00C8744A"/>
    <w:p w14:paraId="4C1052A4" w14:textId="6E61FABD" w:rsidR="00C8744A" w:rsidRDefault="00C8744A" w:rsidP="00C8744A">
      <w:pPr>
        <w:pStyle w:val="Default"/>
        <w:spacing w:line="276" w:lineRule="auto"/>
        <w:jc w:val="center"/>
        <w:rPr>
          <w:rFonts w:ascii="Arial" w:hAnsi="Arial" w:cs="Arial"/>
          <w:b/>
          <w:bCs/>
          <w:color w:val="auto"/>
          <w:sz w:val="52"/>
          <w:szCs w:val="52"/>
        </w:rPr>
      </w:pPr>
      <w:r w:rsidRPr="00E2149B">
        <w:rPr>
          <w:rFonts w:ascii="Arial" w:hAnsi="Arial" w:cs="Arial"/>
          <w:b/>
          <w:bCs/>
          <w:color w:val="auto"/>
          <w:sz w:val="52"/>
          <w:szCs w:val="52"/>
        </w:rPr>
        <w:t>Oxfordshire County Council</w:t>
      </w:r>
    </w:p>
    <w:p w14:paraId="4169A3A8" w14:textId="0FB0D8F7" w:rsidR="00C8744A" w:rsidRPr="00E2149B" w:rsidRDefault="00C8744A" w:rsidP="00C8744A">
      <w:pPr>
        <w:pStyle w:val="Default"/>
        <w:spacing w:line="276" w:lineRule="auto"/>
        <w:jc w:val="center"/>
        <w:rPr>
          <w:rFonts w:ascii="Arial" w:hAnsi="Arial" w:cs="Arial"/>
          <w:b/>
          <w:bCs/>
          <w:color w:val="auto"/>
          <w:sz w:val="52"/>
          <w:szCs w:val="52"/>
        </w:rPr>
      </w:pPr>
      <w:r w:rsidRPr="00E2149B">
        <w:rPr>
          <w:rFonts w:ascii="Arial" w:hAnsi="Arial" w:cs="Arial"/>
          <w:b/>
          <w:bCs/>
          <w:color w:val="auto"/>
          <w:sz w:val="52"/>
          <w:szCs w:val="52"/>
        </w:rPr>
        <w:t>Adult Social Care Workforce Development Strategy</w:t>
      </w:r>
    </w:p>
    <w:p w14:paraId="594BB64F" w14:textId="0E802C5D" w:rsidR="00C8744A" w:rsidRDefault="00C8744A" w:rsidP="00C8744A">
      <w:pPr>
        <w:tabs>
          <w:tab w:val="left" w:pos="1706"/>
        </w:tabs>
        <w:spacing w:line="276" w:lineRule="auto"/>
        <w:jc w:val="center"/>
        <w:rPr>
          <w:rFonts w:eastAsia="Times New Roman"/>
          <w:b/>
          <w:bCs/>
          <w:sz w:val="52"/>
          <w:szCs w:val="52"/>
          <w:lang w:eastAsia="en-GB"/>
        </w:rPr>
      </w:pPr>
      <w:r w:rsidRPr="00E2149B">
        <w:rPr>
          <w:rFonts w:eastAsia="Times New Roman"/>
          <w:b/>
          <w:bCs/>
          <w:sz w:val="52"/>
          <w:szCs w:val="52"/>
          <w:lang w:eastAsia="en-GB"/>
        </w:rPr>
        <w:t xml:space="preserve">2023 </w:t>
      </w:r>
      <w:r w:rsidR="00994853">
        <w:rPr>
          <w:rFonts w:eastAsia="Times New Roman"/>
          <w:b/>
          <w:bCs/>
          <w:sz w:val="52"/>
          <w:szCs w:val="52"/>
          <w:lang w:eastAsia="en-GB"/>
        </w:rPr>
        <w:t>–</w:t>
      </w:r>
      <w:r w:rsidRPr="00E2149B">
        <w:rPr>
          <w:rFonts w:eastAsia="Times New Roman"/>
          <w:b/>
          <w:bCs/>
          <w:sz w:val="52"/>
          <w:szCs w:val="52"/>
          <w:lang w:eastAsia="en-GB"/>
        </w:rPr>
        <w:t xml:space="preserve"> 2026</w:t>
      </w:r>
    </w:p>
    <w:p w14:paraId="441F509F" w14:textId="77777777" w:rsidR="003436F1" w:rsidRDefault="003436F1" w:rsidP="003436F1">
      <w:pPr>
        <w:rPr>
          <w:lang w:eastAsia="en-GB"/>
        </w:rPr>
      </w:pPr>
    </w:p>
    <w:p w14:paraId="680A5A39" w14:textId="77777777" w:rsidR="003436F1" w:rsidRDefault="003436F1" w:rsidP="003436F1">
      <w:pPr>
        <w:rPr>
          <w:lang w:eastAsia="en-GB"/>
        </w:rPr>
      </w:pPr>
    </w:p>
    <w:p w14:paraId="0E7E0B66" w14:textId="77777777" w:rsidR="003436F1" w:rsidRDefault="003436F1" w:rsidP="003436F1">
      <w:pPr>
        <w:rPr>
          <w:lang w:eastAsia="en-GB"/>
        </w:rPr>
      </w:pPr>
    </w:p>
    <w:p w14:paraId="79A45C98" w14:textId="77777777" w:rsidR="003436F1" w:rsidRDefault="003436F1" w:rsidP="003436F1">
      <w:pPr>
        <w:rPr>
          <w:lang w:eastAsia="en-GB"/>
        </w:rPr>
      </w:pPr>
    </w:p>
    <w:p w14:paraId="5E1EC1F1" w14:textId="77777777" w:rsidR="003436F1" w:rsidRDefault="003436F1" w:rsidP="003436F1">
      <w:pPr>
        <w:rPr>
          <w:lang w:eastAsia="en-GB"/>
        </w:rPr>
      </w:pPr>
    </w:p>
    <w:p w14:paraId="5B79BA47" w14:textId="77777777" w:rsidR="003436F1" w:rsidRDefault="003436F1" w:rsidP="003436F1">
      <w:pPr>
        <w:rPr>
          <w:lang w:eastAsia="en-GB"/>
        </w:rPr>
      </w:pPr>
    </w:p>
    <w:p w14:paraId="595562E5" w14:textId="77777777" w:rsidR="00203721" w:rsidRDefault="00203721" w:rsidP="003436F1">
      <w:pPr>
        <w:rPr>
          <w:lang w:eastAsia="en-GB"/>
        </w:rPr>
      </w:pPr>
    </w:p>
    <w:p w14:paraId="3D20D09D" w14:textId="77777777" w:rsidR="001F4020" w:rsidRDefault="001F4020" w:rsidP="003436F1">
      <w:pPr>
        <w:rPr>
          <w:lang w:eastAsia="en-GB"/>
        </w:rPr>
      </w:pPr>
    </w:p>
    <w:p w14:paraId="5E0BC5EF" w14:textId="77777777" w:rsidR="001F4020" w:rsidRDefault="001F4020" w:rsidP="003436F1">
      <w:pPr>
        <w:rPr>
          <w:lang w:eastAsia="en-GB"/>
        </w:rPr>
      </w:pPr>
    </w:p>
    <w:p w14:paraId="5F1860F8" w14:textId="77777777" w:rsidR="001F4020" w:rsidRDefault="001F4020" w:rsidP="003436F1">
      <w:pPr>
        <w:rPr>
          <w:lang w:eastAsia="en-GB"/>
        </w:rPr>
      </w:pPr>
    </w:p>
    <w:p w14:paraId="2C651631" w14:textId="77777777" w:rsidR="00203721" w:rsidRDefault="00203721" w:rsidP="003436F1">
      <w:pPr>
        <w:rPr>
          <w:lang w:eastAsia="en-GB"/>
        </w:rPr>
      </w:pPr>
    </w:p>
    <w:p w14:paraId="389996B5" w14:textId="77777777" w:rsidR="003436F1" w:rsidRDefault="003436F1" w:rsidP="003436F1">
      <w:pPr>
        <w:rPr>
          <w:lang w:eastAsia="en-GB"/>
        </w:rPr>
      </w:pPr>
    </w:p>
    <w:p w14:paraId="2E93252D" w14:textId="77777777" w:rsidR="003436F1" w:rsidRPr="00B34868" w:rsidRDefault="003436F1" w:rsidP="00B34868">
      <w:pPr>
        <w:rPr>
          <w:lang w:eastAsia="en-GB"/>
        </w:rPr>
      </w:pPr>
    </w:p>
    <w:p w14:paraId="00826599" w14:textId="286C3737" w:rsidR="0048151E" w:rsidRPr="00690A36" w:rsidRDefault="2D2CCD6A" w:rsidP="00B34868">
      <w:pPr>
        <w:pStyle w:val="Heading1"/>
        <w:tabs>
          <w:tab w:val="left" w:pos="1706"/>
        </w:tabs>
        <w:spacing w:line="276" w:lineRule="auto"/>
        <w:rPr>
          <w:rFonts w:ascii="Arial" w:eastAsia="Times New Roman" w:hAnsi="Arial" w:cs="Arial"/>
          <w:noProof/>
          <w:lang w:eastAsia="en-GB"/>
        </w:rPr>
      </w:pPr>
      <w:bookmarkStart w:id="0" w:name="_Toc1366399759"/>
      <w:r w:rsidRPr="3452FA4E">
        <w:rPr>
          <w:rFonts w:ascii="Arial" w:eastAsia="Times New Roman" w:hAnsi="Arial" w:cs="Arial"/>
          <w:noProof/>
          <w:lang w:val="en-US" w:eastAsia="en-GB"/>
        </w:rPr>
        <w:lastRenderedPageBreak/>
        <w:t>I</w:t>
      </w:r>
      <w:r w:rsidR="00506D8F" w:rsidRPr="3452FA4E">
        <w:rPr>
          <w:rFonts w:ascii="Arial" w:eastAsia="Times New Roman" w:hAnsi="Arial" w:cs="Arial"/>
          <w:noProof/>
          <w:lang w:val="en-US" w:eastAsia="en-GB"/>
        </w:rPr>
        <w:t>ntroduction: w</w:t>
      </w:r>
      <w:r w:rsidR="0048151E" w:rsidRPr="3452FA4E">
        <w:rPr>
          <w:rFonts w:ascii="Arial" w:eastAsia="Times New Roman" w:hAnsi="Arial" w:cs="Arial"/>
          <w:noProof/>
          <w:lang w:val="en-US" w:eastAsia="en-GB"/>
        </w:rPr>
        <w:t xml:space="preserve">hy we need a </w:t>
      </w:r>
      <w:r w:rsidR="00506D8F" w:rsidRPr="3452FA4E">
        <w:rPr>
          <w:rFonts w:ascii="Arial" w:eastAsia="Times New Roman" w:hAnsi="Arial" w:cs="Arial"/>
          <w:noProof/>
          <w:lang w:val="en-US" w:eastAsia="en-GB"/>
        </w:rPr>
        <w:t xml:space="preserve">Adult Social Care </w:t>
      </w:r>
      <w:r w:rsidR="0048151E" w:rsidRPr="3452FA4E">
        <w:rPr>
          <w:rFonts w:ascii="Arial" w:eastAsia="Times New Roman" w:hAnsi="Arial" w:cs="Arial"/>
          <w:noProof/>
          <w:lang w:val="en-US" w:eastAsia="en-GB"/>
        </w:rPr>
        <w:t>workforce strategy</w:t>
      </w:r>
      <w:bookmarkEnd w:id="0"/>
    </w:p>
    <w:p w14:paraId="72DBAD63" w14:textId="4FDFAC3F" w:rsidR="002F0C84" w:rsidRPr="00E2149B" w:rsidRDefault="002F0C84" w:rsidP="002F0C84">
      <w:pPr>
        <w:spacing w:line="264" w:lineRule="auto"/>
        <w:rPr>
          <w:rFonts w:eastAsia="Times New Roman"/>
          <w:noProof/>
          <w:sz w:val="28"/>
          <w:szCs w:val="28"/>
          <w:lang w:eastAsia="en-GB"/>
        </w:rPr>
      </w:pPr>
    </w:p>
    <w:p w14:paraId="0D6C54F5" w14:textId="21FB457C" w:rsidR="00506D8F" w:rsidRPr="00E2149B" w:rsidRDefault="00506D8F" w:rsidP="00874111">
      <w:pPr>
        <w:spacing w:after="120" w:line="264" w:lineRule="auto"/>
        <w:rPr>
          <w:rFonts w:eastAsia="Times New Roman"/>
          <w:noProof/>
          <w:lang w:val="en-US" w:eastAsia="en-GB"/>
        </w:rPr>
      </w:pPr>
      <w:r w:rsidRPr="00E2149B">
        <w:rPr>
          <w:rFonts w:eastAsia="Times New Roman"/>
          <w:noProof/>
          <w:lang w:val="en-US" w:eastAsia="en-GB"/>
        </w:rPr>
        <w:t xml:space="preserve">Health and social care is a complex system, and the workforce is made up of people who are employed by a wide variety of providers of different sizes, and types. Many of the employers are publicly funded, although some are entirely independent for-profit or not-for-profit enterprises. </w:t>
      </w:r>
    </w:p>
    <w:p w14:paraId="4B2E7C4A" w14:textId="035089BE" w:rsidR="00874111" w:rsidRPr="00690A36" w:rsidRDefault="00506D8F" w:rsidP="00690A36">
      <w:pPr>
        <w:spacing w:line="276" w:lineRule="auto"/>
        <w:rPr>
          <w:rFonts w:eastAsia="Times New Roman"/>
          <w:b/>
          <w:lang w:eastAsia="en-GB"/>
        </w:rPr>
      </w:pPr>
      <w:r w:rsidRPr="00E2149B">
        <w:rPr>
          <w:rFonts w:eastAsia="Times New Roman"/>
          <w:noProof/>
          <w:lang w:val="en-US" w:eastAsia="en-GB"/>
        </w:rPr>
        <w:t xml:space="preserve">All of the employers in the </w:t>
      </w:r>
      <w:r w:rsidR="00874111" w:rsidRPr="00E2149B">
        <w:rPr>
          <w:rFonts w:eastAsia="Times New Roman"/>
          <w:noProof/>
          <w:lang w:val="en-US" w:eastAsia="en-GB"/>
        </w:rPr>
        <w:t>social care sector in Oxfordshire face significant challenges</w:t>
      </w:r>
      <w:r w:rsidR="006C40DB">
        <w:rPr>
          <w:rFonts w:eastAsia="Times New Roman"/>
          <w:noProof/>
          <w:lang w:val="en-US" w:eastAsia="en-GB"/>
        </w:rPr>
        <w:t xml:space="preserve"> which</w:t>
      </w:r>
      <w:r w:rsidR="00874111" w:rsidRPr="00E2149B">
        <w:rPr>
          <w:rFonts w:eastAsia="Times New Roman"/>
          <w:noProof/>
          <w:lang w:val="en-US" w:eastAsia="en-GB"/>
        </w:rPr>
        <w:t xml:space="preserve"> arise from </w:t>
      </w:r>
      <w:r w:rsidR="00D648E1" w:rsidRPr="00E2149B">
        <w:rPr>
          <w:rFonts w:eastAsia="Times New Roman"/>
          <w:noProof/>
          <w:lang w:val="en-US" w:eastAsia="en-GB"/>
        </w:rPr>
        <w:t xml:space="preserve">four </w:t>
      </w:r>
      <w:r w:rsidR="00874111" w:rsidRPr="00E2149B">
        <w:rPr>
          <w:rFonts w:eastAsia="Times New Roman"/>
          <w:noProof/>
          <w:lang w:val="en-US" w:eastAsia="en-GB"/>
        </w:rPr>
        <w:t>main factors:</w:t>
      </w:r>
    </w:p>
    <w:p w14:paraId="51630EB4" w14:textId="03892478" w:rsidR="00874111" w:rsidRPr="00E2149B" w:rsidRDefault="008F1BCE" w:rsidP="00A33897">
      <w:pPr>
        <w:pStyle w:val="ListParagraph"/>
        <w:numPr>
          <w:ilvl w:val="0"/>
          <w:numId w:val="9"/>
        </w:numPr>
        <w:spacing w:after="120" w:line="264" w:lineRule="auto"/>
        <w:rPr>
          <w:rFonts w:eastAsia="Times New Roman"/>
          <w:noProof/>
          <w:lang w:val="en-US" w:eastAsia="en-GB"/>
        </w:rPr>
      </w:pPr>
      <w:r>
        <w:rPr>
          <w:rFonts w:eastAsia="Times New Roman"/>
          <w:noProof/>
          <w:lang w:val="en-US" w:eastAsia="en-GB"/>
        </w:rPr>
        <w:t>I</w:t>
      </w:r>
      <w:r w:rsidR="00D648E1" w:rsidRPr="00E2149B">
        <w:rPr>
          <w:rFonts w:eastAsia="Times New Roman"/>
          <w:noProof/>
          <w:lang w:val="en-US" w:eastAsia="en-GB"/>
        </w:rPr>
        <w:t xml:space="preserve">ncreasing </w:t>
      </w:r>
      <w:r w:rsidR="00874111" w:rsidRPr="00E2149B">
        <w:rPr>
          <w:rFonts w:eastAsia="Times New Roman"/>
          <w:noProof/>
          <w:lang w:val="en-US" w:eastAsia="en-GB"/>
        </w:rPr>
        <w:t>demand for care and support, as the population of Oxfordshire grows and ages</w:t>
      </w:r>
      <w:r>
        <w:rPr>
          <w:rFonts w:eastAsia="Times New Roman"/>
          <w:noProof/>
          <w:lang w:val="en-US" w:eastAsia="en-GB"/>
        </w:rPr>
        <w:t>.</w:t>
      </w:r>
    </w:p>
    <w:p w14:paraId="522D6508" w14:textId="66C94BB1" w:rsidR="00D47E26" w:rsidRPr="00E2149B" w:rsidRDefault="008F1BCE" w:rsidP="00A33897">
      <w:pPr>
        <w:pStyle w:val="ListParagraph"/>
        <w:numPr>
          <w:ilvl w:val="0"/>
          <w:numId w:val="9"/>
        </w:numPr>
        <w:spacing w:after="120" w:line="264" w:lineRule="auto"/>
        <w:rPr>
          <w:rFonts w:eastAsia="Times New Roman"/>
          <w:noProof/>
          <w:lang w:val="en-US" w:eastAsia="en-GB"/>
        </w:rPr>
      </w:pPr>
      <w:r>
        <w:rPr>
          <w:rFonts w:eastAsia="Times New Roman"/>
          <w:noProof/>
          <w:lang w:val="en-US" w:eastAsia="en-GB"/>
        </w:rPr>
        <w:t>C</w:t>
      </w:r>
      <w:r w:rsidR="6BD973DD" w:rsidRPr="00E2149B">
        <w:rPr>
          <w:rFonts w:eastAsia="Times New Roman"/>
          <w:noProof/>
          <w:lang w:val="en-US" w:eastAsia="en-GB"/>
        </w:rPr>
        <w:t xml:space="preserve">hallenges in recruiting new entrants to </w:t>
      </w:r>
      <w:r w:rsidR="00D47E26" w:rsidRPr="00E2149B">
        <w:rPr>
          <w:rFonts w:eastAsia="Times New Roman"/>
          <w:noProof/>
          <w:lang w:val="en-US" w:eastAsia="en-GB"/>
        </w:rPr>
        <w:t>social care</w:t>
      </w:r>
      <w:r>
        <w:rPr>
          <w:rFonts w:eastAsia="Times New Roman"/>
          <w:noProof/>
          <w:lang w:val="en-US" w:eastAsia="en-GB"/>
        </w:rPr>
        <w:t>.</w:t>
      </w:r>
    </w:p>
    <w:p w14:paraId="1EADD26C" w14:textId="5369A2E3" w:rsidR="00874111" w:rsidRPr="00E2149B" w:rsidRDefault="008F1BCE" w:rsidP="00A33897">
      <w:pPr>
        <w:pStyle w:val="ListParagraph"/>
        <w:numPr>
          <w:ilvl w:val="0"/>
          <w:numId w:val="9"/>
        </w:numPr>
        <w:spacing w:after="120" w:line="264" w:lineRule="auto"/>
        <w:rPr>
          <w:rFonts w:eastAsia="Times New Roman"/>
          <w:noProof/>
          <w:lang w:val="en-US" w:eastAsia="en-GB"/>
        </w:rPr>
      </w:pPr>
      <w:r>
        <w:rPr>
          <w:rFonts w:eastAsia="Times New Roman"/>
          <w:noProof/>
          <w:lang w:val="en-US" w:eastAsia="en-GB"/>
        </w:rPr>
        <w:t>I</w:t>
      </w:r>
      <w:r w:rsidR="00D648E1" w:rsidRPr="00E2149B">
        <w:rPr>
          <w:rFonts w:eastAsia="Times New Roman"/>
          <w:noProof/>
          <w:lang w:val="en-US" w:eastAsia="en-GB"/>
        </w:rPr>
        <w:t xml:space="preserve">ncreasing </w:t>
      </w:r>
      <w:r w:rsidR="67F177A2" w:rsidRPr="00E2149B">
        <w:rPr>
          <w:rFonts w:eastAsia="Times New Roman"/>
          <w:noProof/>
          <w:lang w:val="en-US" w:eastAsia="en-GB"/>
        </w:rPr>
        <w:t xml:space="preserve">skill levels required for adult social care work, as </w:t>
      </w:r>
      <w:r w:rsidR="00D648E1" w:rsidRPr="00E2149B">
        <w:rPr>
          <w:rFonts w:eastAsia="Times New Roman"/>
          <w:noProof/>
          <w:lang w:val="en-US" w:eastAsia="en-GB"/>
        </w:rPr>
        <w:t>people’s needs</w:t>
      </w:r>
      <w:r w:rsidR="67F177A2" w:rsidRPr="00E2149B">
        <w:rPr>
          <w:rFonts w:eastAsia="Times New Roman"/>
          <w:noProof/>
          <w:lang w:val="en-US" w:eastAsia="en-GB"/>
        </w:rPr>
        <w:t xml:space="preserve"> become more complex</w:t>
      </w:r>
      <w:r>
        <w:rPr>
          <w:rFonts w:eastAsia="Times New Roman"/>
          <w:noProof/>
          <w:lang w:val="en-US" w:eastAsia="en-GB"/>
        </w:rPr>
        <w:t>.</w:t>
      </w:r>
    </w:p>
    <w:p w14:paraId="53DC6541" w14:textId="169AB349" w:rsidR="5711624C" w:rsidRPr="00E2149B" w:rsidRDefault="008F1BCE" w:rsidP="00A33897">
      <w:pPr>
        <w:pStyle w:val="ListParagraph"/>
        <w:numPr>
          <w:ilvl w:val="0"/>
          <w:numId w:val="9"/>
        </w:numPr>
        <w:spacing w:after="120" w:line="264" w:lineRule="auto"/>
        <w:rPr>
          <w:rFonts w:eastAsia="Times New Roman"/>
          <w:noProof/>
          <w:lang w:val="en-US" w:eastAsia="en-GB"/>
        </w:rPr>
      </w:pPr>
      <w:r>
        <w:rPr>
          <w:rFonts w:eastAsia="Times New Roman"/>
          <w:noProof/>
          <w:lang w:val="en-US" w:eastAsia="en-GB"/>
        </w:rPr>
        <w:t>C</w:t>
      </w:r>
      <w:r w:rsidR="5711624C" w:rsidRPr="00E2149B">
        <w:rPr>
          <w:rFonts w:eastAsia="Times New Roman"/>
          <w:noProof/>
          <w:lang w:val="en-US" w:eastAsia="en-GB"/>
        </w:rPr>
        <w:t>hallenges in retaining staff in the sector due to comparable or better pay in other sectors</w:t>
      </w:r>
      <w:r w:rsidR="00D47E26" w:rsidRPr="00E2149B">
        <w:rPr>
          <w:rFonts w:eastAsia="Times New Roman"/>
          <w:noProof/>
          <w:lang w:val="en-US" w:eastAsia="en-GB"/>
        </w:rPr>
        <w:t>,</w:t>
      </w:r>
      <w:r w:rsidR="79E7975D" w:rsidRPr="00E2149B">
        <w:rPr>
          <w:rFonts w:eastAsia="Times New Roman"/>
          <w:noProof/>
          <w:lang w:val="en-US" w:eastAsia="en-GB"/>
        </w:rPr>
        <w:t xml:space="preserve"> for less demanding roles</w:t>
      </w:r>
      <w:r w:rsidR="00313A3B" w:rsidRPr="00E2149B">
        <w:rPr>
          <w:rFonts w:eastAsia="Times New Roman"/>
          <w:noProof/>
          <w:lang w:val="en-US" w:eastAsia="en-GB"/>
        </w:rPr>
        <w:t>.</w:t>
      </w:r>
    </w:p>
    <w:p w14:paraId="601B3719" w14:textId="15F4CE24" w:rsidR="00874111" w:rsidRPr="00E2149B" w:rsidRDefault="00AA3186" w:rsidP="0066288B">
      <w:pPr>
        <w:spacing w:after="120" w:line="264" w:lineRule="auto"/>
        <w:rPr>
          <w:rFonts w:eastAsia="Times New Roman"/>
          <w:noProof/>
          <w:lang w:val="en-US" w:eastAsia="en-GB"/>
        </w:rPr>
      </w:pPr>
      <w:r w:rsidRPr="00E2149B">
        <w:rPr>
          <w:rFonts w:eastAsia="Times New Roman"/>
          <w:noProof/>
          <w:lang w:val="en-US" w:eastAsia="en-GB"/>
        </w:rPr>
        <w:t>Although adult social care workforce challenges are not new, they have been become more acute in recent years for a variety of reasons, including the pandemic. Care providers report that it is difficult to attract and retain staff, particularly in frontline roles, and the council increasingly experiences similar challenges, particularly in frontline roles in our social and health care team, social work and occupational therapy.</w:t>
      </w:r>
      <w:r w:rsidRPr="00E2149B" w:rsidDel="00E46FC5">
        <w:rPr>
          <w:rFonts w:eastAsia="Times New Roman"/>
          <w:lang w:eastAsia="en-GB"/>
        </w:rPr>
        <w:t xml:space="preserve"> </w:t>
      </w:r>
      <w:r w:rsidRPr="00E2149B">
        <w:rPr>
          <w:rFonts w:eastAsia="Times New Roman"/>
          <w:lang w:eastAsia="en-GB"/>
        </w:rPr>
        <w:t xml:space="preserve">The vacancy rate across key frontline roles raises significant issues regarding the capacity and capability of the workforce. </w:t>
      </w:r>
      <w:r w:rsidR="00506D8F" w:rsidRPr="00E2149B">
        <w:rPr>
          <w:rFonts w:eastAsia="Times New Roman"/>
          <w:noProof/>
          <w:lang w:val="en-US" w:eastAsia="en-GB"/>
        </w:rPr>
        <w:t xml:space="preserve">These issues are not unique to Oxfordshire, but there are </w:t>
      </w:r>
      <w:r w:rsidRPr="00E2149B">
        <w:rPr>
          <w:rFonts w:eastAsia="Times New Roman"/>
          <w:noProof/>
          <w:lang w:val="en-US" w:eastAsia="en-GB"/>
        </w:rPr>
        <w:t xml:space="preserve">other local </w:t>
      </w:r>
      <w:r w:rsidR="00506D8F" w:rsidRPr="00E2149B">
        <w:rPr>
          <w:rFonts w:eastAsia="Times New Roman"/>
          <w:noProof/>
          <w:lang w:val="en-US" w:eastAsia="en-GB"/>
        </w:rPr>
        <w:t>factors that exacerbate the issues in Oxfordshire, including the very high cost of housing in our county.</w:t>
      </w:r>
    </w:p>
    <w:p w14:paraId="6D4BBC1E" w14:textId="7B252170" w:rsidR="00F3419C" w:rsidRPr="00690A36" w:rsidRDefault="00AA3186" w:rsidP="00F3419C">
      <w:pPr>
        <w:pStyle w:val="Default"/>
        <w:rPr>
          <w:rFonts w:ascii="Arial" w:eastAsia="Times New Roman" w:hAnsi="Arial" w:cs="Arial"/>
          <w:noProof/>
          <w:color w:val="auto"/>
          <w:lang w:val="en-US" w:eastAsia="en-GB"/>
        </w:rPr>
      </w:pPr>
      <w:r w:rsidRPr="00690A36">
        <w:rPr>
          <w:rFonts w:ascii="Arial" w:eastAsia="Times New Roman" w:hAnsi="Arial" w:cs="Arial"/>
          <w:noProof/>
          <w:color w:val="auto"/>
          <w:lang w:val="en-US" w:eastAsia="en-GB"/>
        </w:rPr>
        <w:t>This draft workforce strategy</w:t>
      </w:r>
      <w:r w:rsidR="00CE0F49" w:rsidRPr="00690A36">
        <w:rPr>
          <w:rFonts w:ascii="Arial" w:eastAsia="Times New Roman" w:hAnsi="Arial" w:cs="Arial"/>
          <w:noProof/>
          <w:color w:val="auto"/>
          <w:lang w:val="en-US" w:eastAsia="en-GB"/>
        </w:rPr>
        <w:t xml:space="preserve"> </w:t>
      </w:r>
      <w:r w:rsidRPr="00690A36">
        <w:rPr>
          <w:rFonts w:ascii="Arial" w:eastAsia="Times New Roman" w:hAnsi="Arial" w:cs="Arial"/>
          <w:noProof/>
          <w:color w:val="auto"/>
          <w:lang w:val="en-US" w:eastAsia="en-GB"/>
        </w:rPr>
        <w:t xml:space="preserve">is explicitly aligned with the Oxfordshire Way strategic vision, supporting early intervention to enable people to live independently in their own home for longer. It is our intention to champion prevention practice at every stage of the health and social care system. </w:t>
      </w:r>
    </w:p>
    <w:p w14:paraId="61990F12" w14:textId="77777777" w:rsidR="00F3419C" w:rsidRPr="00690A36" w:rsidRDefault="00F3419C" w:rsidP="00690A36">
      <w:pPr>
        <w:pStyle w:val="Default"/>
        <w:rPr>
          <w:lang w:val="en-US" w:eastAsia="en-GB"/>
        </w:rPr>
      </w:pPr>
    </w:p>
    <w:p w14:paraId="7DBDA287" w14:textId="0A353A5C" w:rsidR="00F3419C" w:rsidRPr="00690A36" w:rsidRDefault="00AA3186" w:rsidP="00F3419C">
      <w:pPr>
        <w:pStyle w:val="CM8"/>
        <w:rPr>
          <w:rFonts w:ascii="Arial" w:hAnsi="Arial" w:cs="Arial"/>
        </w:rPr>
      </w:pPr>
      <w:r w:rsidRPr="00690A36">
        <w:rPr>
          <w:rFonts w:ascii="Arial" w:eastAsia="Times New Roman" w:hAnsi="Arial" w:cs="Arial"/>
          <w:noProof/>
          <w:lang w:val="en-US" w:eastAsia="en-GB"/>
        </w:rPr>
        <w:t>The</w:t>
      </w:r>
      <w:r w:rsidR="0048151E" w:rsidRPr="00690A36">
        <w:rPr>
          <w:rFonts w:ascii="Arial" w:eastAsia="Times New Roman" w:hAnsi="Arial" w:cs="Arial"/>
          <w:noProof/>
          <w:lang w:val="en-US" w:eastAsia="en-GB"/>
        </w:rPr>
        <w:t xml:space="preserve"> strategy </w:t>
      </w:r>
      <w:r w:rsidR="004A287E" w:rsidRPr="00690A36">
        <w:rPr>
          <w:rFonts w:ascii="Arial" w:eastAsia="Times New Roman" w:hAnsi="Arial" w:cs="Arial"/>
          <w:noProof/>
          <w:lang w:val="en-US" w:eastAsia="en-GB"/>
        </w:rPr>
        <w:t>has been</w:t>
      </w:r>
      <w:r w:rsidR="0048151E" w:rsidRPr="00690A36">
        <w:rPr>
          <w:rFonts w:ascii="Arial" w:eastAsia="Times New Roman" w:hAnsi="Arial" w:cs="Arial"/>
          <w:noProof/>
          <w:lang w:val="en-US" w:eastAsia="en-GB"/>
        </w:rPr>
        <w:t xml:space="preserve"> </w:t>
      </w:r>
      <w:r w:rsidR="00646AFC" w:rsidRPr="00690A36">
        <w:rPr>
          <w:rFonts w:ascii="Arial" w:eastAsia="Times New Roman" w:hAnsi="Arial" w:cs="Arial"/>
          <w:noProof/>
          <w:lang w:val="en-US" w:eastAsia="en-GB"/>
        </w:rPr>
        <w:t>developed via collaboration</w:t>
      </w:r>
      <w:r w:rsidR="0048151E" w:rsidRPr="00690A36">
        <w:rPr>
          <w:rFonts w:ascii="Arial" w:eastAsia="Times New Roman" w:hAnsi="Arial" w:cs="Arial"/>
          <w:noProof/>
          <w:lang w:val="en-US" w:eastAsia="en-GB"/>
        </w:rPr>
        <w:t xml:space="preserve"> with key stakeholders including internal staff</w:t>
      </w:r>
      <w:r w:rsidR="00D26FF5" w:rsidRPr="00690A36">
        <w:rPr>
          <w:rFonts w:ascii="Arial" w:eastAsia="Times New Roman" w:hAnsi="Arial" w:cs="Arial"/>
          <w:noProof/>
          <w:lang w:val="en-US" w:eastAsia="en-GB"/>
        </w:rPr>
        <w:t xml:space="preserve"> and</w:t>
      </w:r>
      <w:r w:rsidR="0048151E" w:rsidRPr="00690A36">
        <w:rPr>
          <w:rFonts w:ascii="Arial" w:eastAsia="Times New Roman" w:hAnsi="Arial" w:cs="Arial"/>
          <w:noProof/>
          <w:lang w:val="en-US" w:eastAsia="en-GB"/>
        </w:rPr>
        <w:t xml:space="preserve"> care providers</w:t>
      </w:r>
      <w:r w:rsidR="00D26FF5" w:rsidRPr="00690A36">
        <w:rPr>
          <w:rFonts w:ascii="Arial" w:eastAsia="Times New Roman" w:hAnsi="Arial" w:cs="Arial"/>
          <w:noProof/>
          <w:lang w:val="en-US" w:eastAsia="en-GB"/>
        </w:rPr>
        <w:t xml:space="preserve">, and the activity in the delivery plan </w:t>
      </w:r>
      <w:r w:rsidR="004A287E" w:rsidRPr="00690A36">
        <w:rPr>
          <w:rFonts w:ascii="Arial" w:eastAsia="Times New Roman" w:hAnsi="Arial" w:cs="Arial"/>
          <w:noProof/>
          <w:lang w:val="en-US" w:eastAsia="en-GB"/>
        </w:rPr>
        <w:t>will continue to be</w:t>
      </w:r>
      <w:r w:rsidR="00D26FF5" w:rsidRPr="00690A36">
        <w:rPr>
          <w:rFonts w:ascii="Arial" w:eastAsia="Times New Roman" w:hAnsi="Arial" w:cs="Arial"/>
          <w:noProof/>
          <w:lang w:val="en-US" w:eastAsia="en-GB"/>
        </w:rPr>
        <w:t xml:space="preserve"> co-designed with a range of stakeholders including our staff</w:t>
      </w:r>
      <w:r w:rsidR="004A287E" w:rsidRPr="00690A36">
        <w:rPr>
          <w:rFonts w:ascii="Arial" w:eastAsia="Times New Roman" w:hAnsi="Arial" w:cs="Arial"/>
          <w:noProof/>
          <w:lang w:val="en-US" w:eastAsia="en-GB"/>
        </w:rPr>
        <w:t xml:space="preserve">, </w:t>
      </w:r>
      <w:r w:rsidR="00D26FF5" w:rsidRPr="00690A36">
        <w:rPr>
          <w:rFonts w:ascii="Arial" w:eastAsia="Times New Roman" w:hAnsi="Arial" w:cs="Arial"/>
          <w:noProof/>
          <w:lang w:val="en-US" w:eastAsia="en-GB"/>
        </w:rPr>
        <w:t>local care provider employers</w:t>
      </w:r>
      <w:r w:rsidR="004A287E" w:rsidRPr="00690A36">
        <w:rPr>
          <w:rFonts w:ascii="Arial" w:eastAsia="Times New Roman" w:hAnsi="Arial" w:cs="Arial"/>
          <w:noProof/>
          <w:lang w:val="en-US" w:eastAsia="en-GB"/>
        </w:rPr>
        <w:t xml:space="preserve"> and people we support</w:t>
      </w:r>
      <w:r w:rsidR="00D26FF5" w:rsidRPr="00690A36">
        <w:rPr>
          <w:rFonts w:ascii="Arial" w:eastAsia="Times New Roman" w:hAnsi="Arial" w:cs="Arial"/>
          <w:noProof/>
          <w:lang w:val="en-US" w:eastAsia="en-GB"/>
        </w:rPr>
        <w:t>.</w:t>
      </w:r>
      <w:r w:rsidR="00F3419C" w:rsidRPr="00E2149B">
        <w:rPr>
          <w:rFonts w:ascii="Arial" w:hAnsi="Arial" w:cs="Arial"/>
        </w:rPr>
        <w:t xml:space="preserve"> We are committed to involve people we support, their families and our communities to learn about what is important to them when it comes to the workforce who help provide care and support for them or their loved ones.</w:t>
      </w:r>
    </w:p>
    <w:p w14:paraId="112CE3D4" w14:textId="77777777" w:rsidR="00F3419C" w:rsidRPr="00E2149B" w:rsidRDefault="00F3419C" w:rsidP="009D3A5E">
      <w:pPr>
        <w:spacing w:after="120" w:line="276" w:lineRule="auto"/>
        <w:rPr>
          <w:rFonts w:eastAsia="Times New Roman"/>
          <w:noProof/>
          <w:lang w:val="en-US" w:eastAsia="en-GB"/>
        </w:rPr>
      </w:pPr>
    </w:p>
    <w:p w14:paraId="7B700D30" w14:textId="3BEB5DAE" w:rsidR="009D3A5E" w:rsidRPr="00E2149B" w:rsidRDefault="009D3A5E" w:rsidP="009D3A5E">
      <w:pPr>
        <w:spacing w:after="120" w:line="276" w:lineRule="auto"/>
        <w:rPr>
          <w:rFonts w:eastAsia="Times New Roman"/>
          <w:lang w:eastAsia="en-GB"/>
        </w:rPr>
      </w:pPr>
      <w:r w:rsidRPr="00E2149B">
        <w:rPr>
          <w:rFonts w:eastAsia="Times New Roman"/>
          <w:lang w:eastAsia="en-GB"/>
        </w:rPr>
        <w:t>The strategy is also informed by and aligned with:</w:t>
      </w:r>
    </w:p>
    <w:p w14:paraId="14B6E759" w14:textId="77777777" w:rsidR="009D3A5E" w:rsidRPr="00E2149B" w:rsidRDefault="009D3A5E" w:rsidP="009D3A5E">
      <w:pPr>
        <w:rPr>
          <w:rFonts w:eastAsia="Times New Roman"/>
          <w:lang w:eastAsia="en-GB"/>
        </w:rPr>
      </w:pPr>
    </w:p>
    <w:p w14:paraId="47D5ED04" w14:textId="79D1BD1C" w:rsidR="009D3A5E" w:rsidRPr="00E2149B" w:rsidRDefault="009D3A5E" w:rsidP="00690A36">
      <w:pPr>
        <w:numPr>
          <w:ilvl w:val="0"/>
          <w:numId w:val="14"/>
        </w:numPr>
        <w:spacing w:after="120" w:line="276" w:lineRule="auto"/>
        <w:ind w:left="993" w:hanging="567"/>
        <w:contextualSpacing/>
        <w:rPr>
          <w:rFonts w:eastAsia="Times New Roman"/>
        </w:rPr>
      </w:pPr>
      <w:r w:rsidRPr="00E2149B">
        <w:rPr>
          <w:rFonts w:eastAsia="Times New Roman"/>
        </w:rPr>
        <w:lastRenderedPageBreak/>
        <w:t xml:space="preserve">National policy, strategies, plans, and initiatives related to adult social care such as </w:t>
      </w:r>
      <w:hyperlink r:id="rId12" w:history="1">
        <w:r w:rsidRPr="00825CFD">
          <w:rPr>
            <w:rStyle w:val="Hyperlink"/>
            <w:rFonts w:eastAsia="Times New Roman"/>
          </w:rPr>
          <w:t>People at the Heart of Care</w:t>
        </w:r>
      </w:hyperlink>
      <w:r w:rsidRPr="00E2149B">
        <w:rPr>
          <w:rFonts w:eastAsia="Times New Roman"/>
          <w:i/>
          <w:iCs/>
        </w:rPr>
        <w:t xml:space="preserve"> </w:t>
      </w:r>
      <w:r w:rsidRPr="00690A36">
        <w:rPr>
          <w:rFonts w:eastAsia="Times New Roman"/>
        </w:rPr>
        <w:t>(2022)</w:t>
      </w:r>
      <w:r w:rsidRPr="00E2149B">
        <w:rPr>
          <w:rFonts w:eastAsia="Times New Roman"/>
        </w:rPr>
        <w:t>, a government</w:t>
      </w:r>
      <w:r w:rsidRPr="00690A36">
        <w:rPr>
          <w:rFonts w:eastAsia="Times New Roman"/>
        </w:rPr>
        <w:t xml:space="preserve"> white paper</w:t>
      </w:r>
      <w:r w:rsidRPr="00E2149B">
        <w:rPr>
          <w:rFonts w:eastAsia="Times New Roman"/>
        </w:rPr>
        <w:t xml:space="preserve"> setting out reforms to adult social care</w:t>
      </w:r>
    </w:p>
    <w:p w14:paraId="176491C6" w14:textId="77777777" w:rsidR="009D3A5E" w:rsidRPr="00E2149B" w:rsidRDefault="009D3A5E" w:rsidP="00F15821">
      <w:pPr>
        <w:numPr>
          <w:ilvl w:val="0"/>
          <w:numId w:val="14"/>
        </w:numPr>
        <w:spacing w:line="276" w:lineRule="auto"/>
        <w:ind w:left="993" w:hanging="567"/>
        <w:rPr>
          <w:rFonts w:eastAsia="Times New Roman"/>
          <w:lang w:eastAsia="en-GB"/>
        </w:rPr>
      </w:pPr>
      <w:r w:rsidRPr="00E2149B">
        <w:rPr>
          <w:rFonts w:eastAsia="Times New Roman"/>
        </w:rPr>
        <w:t>Oxfordshire strategies and plans related to adult social care, including Oxfordshire’s</w:t>
      </w:r>
      <w:r w:rsidRPr="00E2149B">
        <w:rPr>
          <w:rFonts w:eastAsia="Times New Roman"/>
          <w:lang w:eastAsia="en-GB"/>
        </w:rPr>
        <w:t xml:space="preserve"> Joint Health and Wellbeing Strategy 2022, Oxfordshire’s Market Sustainability Plan and Oxfordshire’s Market Position Statement 2023-2024</w:t>
      </w:r>
    </w:p>
    <w:p w14:paraId="083926A2" w14:textId="6E06B108" w:rsidR="009D3A5E" w:rsidRPr="00E2149B" w:rsidRDefault="009D3A5E" w:rsidP="00F15821">
      <w:pPr>
        <w:numPr>
          <w:ilvl w:val="0"/>
          <w:numId w:val="14"/>
        </w:numPr>
        <w:spacing w:line="276" w:lineRule="auto"/>
        <w:ind w:left="993" w:hanging="567"/>
        <w:rPr>
          <w:rFonts w:eastAsia="Times New Roman"/>
          <w:lang w:eastAsia="en-GB"/>
        </w:rPr>
      </w:pPr>
      <w:r w:rsidRPr="00E2149B">
        <w:rPr>
          <w:rFonts w:eastAsia="Times New Roman"/>
          <w:lang w:eastAsia="en-GB"/>
        </w:rPr>
        <w:t xml:space="preserve">Care Quality Commission </w:t>
      </w:r>
      <w:hyperlink r:id="rId13">
        <w:r w:rsidRPr="00E2149B">
          <w:rPr>
            <w:rStyle w:val="Hyperlink"/>
            <w:rFonts w:eastAsia="Times New Roman"/>
            <w:lang w:eastAsia="en-GB"/>
          </w:rPr>
          <w:t>Single Assessment Framework</w:t>
        </w:r>
      </w:hyperlink>
      <w:r w:rsidRPr="00E2149B">
        <w:rPr>
          <w:rFonts w:eastAsia="Times New Roman"/>
          <w:lang w:eastAsia="en-GB"/>
        </w:rPr>
        <w:t xml:space="preserve">, </w:t>
      </w:r>
      <w:r w:rsidRPr="00E2149B">
        <w:t>which applies to local authorities from April 2023, to</w:t>
      </w:r>
      <w:r w:rsidRPr="00E2149B">
        <w:rPr>
          <w:rFonts w:eastAsia="Times New Roman"/>
          <w:noProof/>
          <w:lang w:val="en-US" w:eastAsia="en-GB"/>
        </w:rPr>
        <w:t xml:space="preserve"> ensure that people are provided with safe, effective, compassionate, high-quality care and that services are encouraged to improve. CQC will provide independent assurance to the public of the quality of care in their area, including evidence that we have a quailfied and competent workforce</w:t>
      </w:r>
    </w:p>
    <w:p w14:paraId="76A4D842" w14:textId="2660F47A" w:rsidR="009D3A5E" w:rsidRPr="00E2149B" w:rsidRDefault="009D3A5E" w:rsidP="00690A36">
      <w:pPr>
        <w:numPr>
          <w:ilvl w:val="0"/>
          <w:numId w:val="14"/>
        </w:numPr>
        <w:spacing w:after="120" w:line="276" w:lineRule="auto"/>
        <w:ind w:left="993" w:hanging="567"/>
        <w:rPr>
          <w:rFonts w:eastAsia="Times New Roman"/>
          <w:lang w:eastAsia="en-GB"/>
        </w:rPr>
      </w:pPr>
      <w:r w:rsidRPr="25158DD1">
        <w:rPr>
          <w:rFonts w:eastAsia="Times New Roman"/>
          <w:lang w:eastAsia="en-GB"/>
        </w:rPr>
        <w:t xml:space="preserve">Oxfordshire All Age Carers Strategy </w:t>
      </w:r>
      <w:r w:rsidRPr="00E2149B">
        <w:rPr>
          <w:rFonts w:eastAsia="Times New Roman"/>
          <w:lang w:eastAsia="en-GB"/>
        </w:rPr>
        <w:t>The council’s internal people strategies including Building our Workforce of the Future Together</w:t>
      </w:r>
      <w:r w:rsidRPr="00E2149B">
        <w:rPr>
          <w:rFonts w:eastAsia="Times New Roman"/>
          <w:i/>
          <w:iCs/>
          <w:lang w:eastAsia="en-GB"/>
        </w:rPr>
        <w:t xml:space="preserve"> </w:t>
      </w:r>
      <w:r w:rsidRPr="00E2149B">
        <w:rPr>
          <w:rFonts w:eastAsia="Times New Roman"/>
          <w:lang w:eastAsia="en-GB"/>
        </w:rPr>
        <w:t xml:space="preserve">internal workforce strategy (draft, for consultation, at the time of writing), the Delivering the Future Together programme which aims to make Oxfordshire County Council even better place to work, and the Council’s </w:t>
      </w:r>
      <w:r w:rsidRPr="00E2149B">
        <w:t xml:space="preserve">Equalities, Diversity, and Inclusion Framework </w:t>
      </w:r>
      <w:hyperlink r:id="rId14">
        <w:r w:rsidRPr="00E2149B">
          <w:rPr>
            <w:rStyle w:val="Hyperlink"/>
            <w:rFonts w:eastAsia="Times New Roman"/>
            <w:lang w:eastAsia="en-GB"/>
          </w:rPr>
          <w:t>Including Everyone</w:t>
        </w:r>
      </w:hyperlink>
      <w:r w:rsidRPr="00E2149B">
        <w:rPr>
          <w:rFonts w:eastAsia="Times New Roman"/>
          <w:lang w:eastAsia="en-GB"/>
        </w:rPr>
        <w:t xml:space="preserve">. </w:t>
      </w:r>
    </w:p>
    <w:p w14:paraId="2EE504A3" w14:textId="1A12C9BD" w:rsidR="009D3A5E" w:rsidRPr="00E2149B" w:rsidRDefault="009D3A5E" w:rsidP="00AA3186">
      <w:pPr>
        <w:spacing w:after="120" w:line="276" w:lineRule="auto"/>
        <w:rPr>
          <w:rFonts w:eastAsia="Times New Roman"/>
          <w:noProof/>
          <w:lang w:val="en-US" w:eastAsia="en-GB"/>
        </w:rPr>
      </w:pPr>
    </w:p>
    <w:p w14:paraId="47A1474D" w14:textId="715A47F4" w:rsidR="00E92C2B" w:rsidRDefault="00E92C2B" w:rsidP="00E92C2B">
      <w:pPr>
        <w:spacing w:line="264" w:lineRule="auto"/>
        <w:rPr>
          <w:rFonts w:eastAsia="Times New Roman"/>
          <w:noProof/>
          <w:lang w:eastAsia="en-GB"/>
        </w:rPr>
      </w:pPr>
      <w:r w:rsidRPr="00E2149B">
        <w:rPr>
          <w:rFonts w:eastAsia="Times New Roman"/>
          <w:noProof/>
          <w:lang w:eastAsia="en-GB"/>
        </w:rPr>
        <w:t xml:space="preserve">The strategy aims to be a living document that evolves as and when required. </w:t>
      </w:r>
      <w:r w:rsidR="00646AFC" w:rsidRPr="00E2149B">
        <w:rPr>
          <w:rFonts w:eastAsia="Times New Roman"/>
          <w:noProof/>
          <w:lang w:eastAsia="en-GB"/>
        </w:rPr>
        <w:t>As a minimum, the strategy and delivery plan</w:t>
      </w:r>
      <w:r w:rsidRPr="00E2149B">
        <w:rPr>
          <w:rFonts w:eastAsia="Times New Roman"/>
          <w:noProof/>
          <w:lang w:eastAsia="en-GB"/>
        </w:rPr>
        <w:t xml:space="preserve"> will be reviewed annually.</w:t>
      </w:r>
    </w:p>
    <w:p w14:paraId="1E61A168" w14:textId="3D18CA6A" w:rsidR="00000C60" w:rsidRDefault="00000C60" w:rsidP="00E92C2B">
      <w:pPr>
        <w:spacing w:line="264" w:lineRule="auto"/>
        <w:rPr>
          <w:rFonts w:eastAsia="Times New Roman"/>
          <w:noProof/>
          <w:lang w:eastAsia="en-GB"/>
        </w:rPr>
      </w:pPr>
    </w:p>
    <w:p w14:paraId="7B1A0AF0" w14:textId="18301B4B" w:rsidR="00000C60" w:rsidRPr="00E2149B" w:rsidRDefault="00000C60" w:rsidP="00E92C2B">
      <w:pPr>
        <w:spacing w:line="264" w:lineRule="auto"/>
        <w:rPr>
          <w:rFonts w:eastAsia="Times New Roman"/>
          <w:noProof/>
          <w:lang w:eastAsia="en-GB"/>
        </w:rPr>
      </w:pPr>
      <w:r>
        <w:rPr>
          <w:rFonts w:eastAsia="Times New Roman"/>
          <w:noProof/>
          <w:lang w:eastAsia="en-GB"/>
        </w:rPr>
        <w:t xml:space="preserve">The data cited in this strategy is largely drawn from Oxfordshire’s </w:t>
      </w:r>
      <w:hyperlink r:id="rId15" w:history="1">
        <w:r w:rsidRPr="00000C60">
          <w:rPr>
            <w:rStyle w:val="Hyperlink"/>
            <w:rFonts w:eastAsia="Times New Roman"/>
            <w:noProof/>
            <w:lang w:eastAsia="en-GB"/>
          </w:rPr>
          <w:t>Joint Strategic Needs Analysis</w:t>
        </w:r>
      </w:hyperlink>
      <w:r>
        <w:rPr>
          <w:rFonts w:eastAsia="Times New Roman"/>
          <w:noProof/>
          <w:lang w:eastAsia="en-GB"/>
        </w:rPr>
        <w:t xml:space="preserve"> (JSNA) and the </w:t>
      </w:r>
      <w:hyperlink r:id="rId16" w:history="1">
        <w:r w:rsidRPr="00000C60">
          <w:rPr>
            <w:rStyle w:val="Hyperlink"/>
            <w:rFonts w:eastAsia="Times New Roman"/>
            <w:noProof/>
            <w:lang w:eastAsia="en-GB"/>
          </w:rPr>
          <w:t>Adult Social Care Workforce Dataset</w:t>
        </w:r>
      </w:hyperlink>
      <w:r>
        <w:rPr>
          <w:rFonts w:eastAsia="Times New Roman"/>
          <w:noProof/>
          <w:lang w:eastAsia="en-GB"/>
        </w:rPr>
        <w:t xml:space="preserve"> (ASC WDS) which is published by Skills for Care. References and links are provided where other sources are used.</w:t>
      </w:r>
    </w:p>
    <w:p w14:paraId="1E03DA3C" w14:textId="2E5895D5" w:rsidR="009D39C4" w:rsidRPr="00E2149B" w:rsidRDefault="009D39C4">
      <w:pPr>
        <w:rPr>
          <w:rFonts w:eastAsia="Times New Roman"/>
          <w:b/>
          <w:bCs/>
          <w:noProof/>
          <w:sz w:val="28"/>
          <w:szCs w:val="28"/>
          <w:lang w:val="en-US" w:eastAsia="en-GB"/>
        </w:rPr>
      </w:pPr>
      <w:r w:rsidRPr="00E2149B">
        <w:rPr>
          <w:rFonts w:eastAsia="Times New Roman"/>
          <w:b/>
          <w:bCs/>
          <w:noProof/>
          <w:sz w:val="28"/>
          <w:szCs w:val="28"/>
          <w:lang w:val="en-US" w:eastAsia="en-GB"/>
        </w:rPr>
        <w:br w:type="page"/>
      </w:r>
    </w:p>
    <w:p w14:paraId="1D0D7361" w14:textId="71CEC3D7" w:rsidR="008E3567" w:rsidRDefault="008E3567">
      <w:pPr>
        <w:rPr>
          <w:rFonts w:eastAsia="Times New Roman"/>
          <w:b/>
          <w:bCs/>
          <w:noProof/>
          <w:sz w:val="28"/>
          <w:szCs w:val="28"/>
          <w:lang w:val="en-US" w:eastAsia="en-GB"/>
        </w:rPr>
      </w:pPr>
    </w:p>
    <w:p w14:paraId="0E921A05" w14:textId="75780667" w:rsidR="00985D06" w:rsidRPr="00690A36" w:rsidRDefault="00F3419C" w:rsidP="00D41608">
      <w:pPr>
        <w:pStyle w:val="Heading1"/>
        <w:rPr>
          <w:rFonts w:ascii="Arial" w:eastAsia="Times New Roman" w:hAnsi="Arial" w:cs="Arial"/>
          <w:noProof/>
          <w:lang w:val="en-US" w:eastAsia="en-GB"/>
        </w:rPr>
      </w:pPr>
      <w:r w:rsidRPr="00690A36">
        <w:rPr>
          <w:rFonts w:ascii="Arial" w:eastAsia="Times New Roman" w:hAnsi="Arial" w:cs="Arial"/>
          <w:noProof/>
          <w:lang w:val="en-US" w:eastAsia="en-GB"/>
        </w:rPr>
        <w:t>Context in Oxfordshire</w:t>
      </w:r>
    </w:p>
    <w:p w14:paraId="5B438C8F" w14:textId="0AECDA33" w:rsidR="005B4A64" w:rsidRPr="00690A36" w:rsidRDefault="005B4A64" w:rsidP="00690A36">
      <w:pPr>
        <w:rPr>
          <w:lang w:val="en-US" w:eastAsia="en-GB"/>
        </w:rPr>
      </w:pPr>
    </w:p>
    <w:p w14:paraId="7781C2C0" w14:textId="7EDFCB9B" w:rsidR="00AA3186" w:rsidRPr="00E2149B" w:rsidRDefault="005B4A64" w:rsidP="005B4A64">
      <w:pPr>
        <w:spacing w:line="276" w:lineRule="auto"/>
        <w:rPr>
          <w:rFonts w:eastAsia="Times New Roman"/>
          <w:lang w:eastAsia="en-GB"/>
        </w:rPr>
      </w:pPr>
      <w:r w:rsidRPr="00E2149B">
        <w:rPr>
          <w:rFonts w:eastAsia="Times New Roman"/>
          <w:lang w:eastAsia="en-GB"/>
        </w:rPr>
        <w:t xml:space="preserve">In Oxfordshire, as in the rest of the UK, </w:t>
      </w:r>
      <w:r w:rsidR="00AA3186" w:rsidRPr="00E2149B">
        <w:rPr>
          <w:rFonts w:eastAsia="Times New Roman"/>
          <w:lang w:eastAsia="en-GB"/>
        </w:rPr>
        <w:t xml:space="preserve">good care and support makes a positive difference to many people. Our vision for delivering social care, the Oxfordshire Way, </w:t>
      </w:r>
      <w:r w:rsidR="00D35921" w:rsidRPr="00E2149B">
        <w:rPr>
          <w:rFonts w:eastAsia="Times New Roman"/>
          <w:lang w:eastAsia="en-GB"/>
        </w:rPr>
        <w:t>recognises that the role of social care is to provide support to people who have a disability or health condition to</w:t>
      </w:r>
      <w:r w:rsidR="00AA3186" w:rsidRPr="00E2149B">
        <w:rPr>
          <w:rFonts w:eastAsia="Times New Roman"/>
          <w:lang w:eastAsia="en-GB"/>
        </w:rPr>
        <w:t xml:space="preserve"> “live in the place we call home, with the people and things that we love, in communities where we look out for one another, doing what matters to us” (</w:t>
      </w:r>
      <w:r w:rsidR="00D35921" w:rsidRPr="00E2149B">
        <w:rPr>
          <w:rFonts w:eastAsia="Times New Roman"/>
          <w:lang w:eastAsia="en-GB"/>
        </w:rPr>
        <w:t xml:space="preserve">Social Care Future, </w:t>
      </w:r>
      <w:r w:rsidR="00AA3186" w:rsidRPr="00E2149B">
        <w:rPr>
          <w:rFonts w:eastAsia="Times New Roman"/>
          <w:lang w:eastAsia="en-GB"/>
        </w:rPr>
        <w:t xml:space="preserve">2021). </w:t>
      </w:r>
      <w:r w:rsidRPr="00E2149B">
        <w:rPr>
          <w:rFonts w:eastAsia="Times New Roman"/>
          <w:lang w:eastAsia="en-GB"/>
        </w:rPr>
        <w:t xml:space="preserve"> </w:t>
      </w:r>
    </w:p>
    <w:p w14:paraId="71D969F4" w14:textId="3CC2B385" w:rsidR="00E76AE9" w:rsidRPr="00E2149B" w:rsidRDefault="00E76AE9" w:rsidP="005B4A64">
      <w:pPr>
        <w:spacing w:line="276" w:lineRule="auto"/>
        <w:rPr>
          <w:rFonts w:eastAsia="Times New Roman"/>
          <w:lang w:eastAsia="en-GB"/>
        </w:rPr>
      </w:pPr>
    </w:p>
    <w:p w14:paraId="48CD631D" w14:textId="1BA975DF" w:rsidR="00E76AE9" w:rsidRPr="00E2149B" w:rsidRDefault="00E76AE9" w:rsidP="00690A36">
      <w:pPr>
        <w:spacing w:after="120" w:line="276" w:lineRule="auto"/>
      </w:pPr>
      <w:r w:rsidRPr="00E2149B">
        <w:t xml:space="preserve">The Oxfordshire Way brings those responsible for providing care together with a united, shared approach to supporting the people of Oxfordshire to live well in their community, remaining fit and healthy for as long as possible. </w:t>
      </w:r>
      <w:r w:rsidR="00F3419C" w:rsidRPr="00E2149B">
        <w:rPr>
          <w:rFonts w:eastAsia="Times New Roman"/>
          <w:noProof/>
          <w:lang w:val="en-US" w:eastAsia="en-GB"/>
        </w:rPr>
        <w:t xml:space="preserve">The Covid-19 pandemic accelerated the use of technology and allowed us to be innovative to ensure good quality care is delivered, as well as promoting independence and wellbeing. As digital technology becomes more available and accessible, the Oxfordshire Way seeks to build on opportunities to embed this into our practice and transform the way in which care is delivered. </w:t>
      </w:r>
    </w:p>
    <w:p w14:paraId="70DED3ED" w14:textId="142D4FE1" w:rsidR="000A724F" w:rsidRDefault="00F3419C" w:rsidP="00985D06">
      <w:pPr>
        <w:spacing w:after="120" w:line="264" w:lineRule="auto"/>
        <w:rPr>
          <w:rFonts w:eastAsia="Times New Roman"/>
          <w:noProof/>
          <w:lang w:val="en-US" w:eastAsia="en-GB"/>
        </w:rPr>
      </w:pPr>
      <w:r w:rsidRPr="00E2149B">
        <w:rPr>
          <w:rFonts w:eastAsia="Times New Roman"/>
          <w:noProof/>
          <w:lang w:val="en-US" w:eastAsia="en-GB"/>
        </w:rPr>
        <w:t xml:space="preserve">The Oxfordshire Way was developed in the context of </w:t>
      </w:r>
      <w:r w:rsidR="0085687C" w:rsidRPr="00E2149B">
        <w:rPr>
          <w:rFonts w:eastAsia="Times New Roman"/>
          <w:noProof/>
          <w:lang w:val="en-US" w:eastAsia="en-GB"/>
        </w:rPr>
        <w:t xml:space="preserve">a </w:t>
      </w:r>
      <w:r w:rsidR="0028739E" w:rsidRPr="00E2149B">
        <w:rPr>
          <w:rFonts w:eastAsia="Times New Roman"/>
          <w:noProof/>
          <w:lang w:val="en-US" w:eastAsia="en-GB"/>
        </w:rPr>
        <w:t xml:space="preserve">rising </w:t>
      </w:r>
      <w:r w:rsidR="00CA75F2" w:rsidRPr="00E2149B">
        <w:rPr>
          <w:rFonts w:eastAsia="Times New Roman"/>
          <w:noProof/>
          <w:lang w:val="en-US" w:eastAsia="en-GB"/>
        </w:rPr>
        <w:t>demand for social care</w:t>
      </w:r>
      <w:r w:rsidR="0085687C" w:rsidRPr="00E2149B">
        <w:rPr>
          <w:rFonts w:eastAsia="Times New Roman"/>
          <w:noProof/>
          <w:lang w:val="en-US" w:eastAsia="en-GB"/>
        </w:rPr>
        <w:t>, which</w:t>
      </w:r>
      <w:r w:rsidR="00CA75F2" w:rsidRPr="00E2149B">
        <w:rPr>
          <w:rFonts w:eastAsia="Times New Roman"/>
          <w:noProof/>
          <w:lang w:val="en-US" w:eastAsia="en-GB"/>
        </w:rPr>
        <w:t xml:space="preserve"> </w:t>
      </w:r>
      <w:r w:rsidR="0028739E" w:rsidRPr="00E2149B">
        <w:rPr>
          <w:rFonts w:eastAsia="Times New Roman"/>
          <w:noProof/>
          <w:lang w:val="en-US" w:eastAsia="en-GB"/>
        </w:rPr>
        <w:t xml:space="preserve">is </w:t>
      </w:r>
      <w:r w:rsidR="00CA75F2" w:rsidRPr="00E2149B">
        <w:rPr>
          <w:rFonts w:eastAsia="Times New Roman"/>
          <w:noProof/>
          <w:lang w:val="en-US" w:eastAsia="en-GB"/>
        </w:rPr>
        <w:t xml:space="preserve">predominantly driven by </w:t>
      </w:r>
      <w:r w:rsidR="0028739E" w:rsidRPr="00E2149B">
        <w:rPr>
          <w:rFonts w:eastAsia="Times New Roman"/>
          <w:noProof/>
          <w:lang w:val="en-US" w:eastAsia="en-GB"/>
        </w:rPr>
        <w:t xml:space="preserve">our growing </w:t>
      </w:r>
      <w:r w:rsidR="00CA75F2" w:rsidRPr="00E2149B">
        <w:rPr>
          <w:rFonts w:eastAsia="Times New Roman"/>
          <w:noProof/>
          <w:lang w:val="en-US" w:eastAsia="en-GB"/>
        </w:rPr>
        <w:t>population and the increasing proportion of older people who are living longer and developing complex care needs</w:t>
      </w:r>
      <w:r w:rsidR="0028739E" w:rsidRPr="00E2149B">
        <w:rPr>
          <w:rFonts w:eastAsia="Times New Roman"/>
          <w:noProof/>
          <w:lang w:val="en-US" w:eastAsia="en-GB"/>
        </w:rPr>
        <w:t xml:space="preserve">. </w:t>
      </w:r>
      <w:r w:rsidR="00635C65" w:rsidRPr="00E2149B">
        <w:rPr>
          <w:rFonts w:eastAsia="Times New Roman"/>
          <w:noProof/>
          <w:lang w:val="en-US" w:eastAsia="en-GB"/>
        </w:rPr>
        <w:t xml:space="preserve">According to </w:t>
      </w:r>
      <w:r w:rsidR="76E1B556" w:rsidRPr="00E2149B">
        <w:rPr>
          <w:rFonts w:eastAsia="Times New Roman"/>
          <w:noProof/>
          <w:lang w:val="en-US" w:eastAsia="en-GB"/>
        </w:rPr>
        <w:t>2021</w:t>
      </w:r>
      <w:r w:rsidR="00635C65" w:rsidRPr="00E2149B">
        <w:rPr>
          <w:rFonts w:eastAsia="Times New Roman"/>
          <w:noProof/>
          <w:lang w:val="en-US" w:eastAsia="en-GB"/>
        </w:rPr>
        <w:t xml:space="preserve"> Census</w:t>
      </w:r>
      <w:r w:rsidR="44774743" w:rsidRPr="00E2149B">
        <w:rPr>
          <w:rFonts w:eastAsia="Times New Roman"/>
          <w:noProof/>
          <w:lang w:val="en-US" w:eastAsia="en-GB"/>
        </w:rPr>
        <w:t>,</w:t>
      </w:r>
      <w:r w:rsidR="76E1B556" w:rsidRPr="00E2149B">
        <w:rPr>
          <w:rFonts w:eastAsia="Times New Roman"/>
          <w:noProof/>
          <w:lang w:val="en-US" w:eastAsia="en-GB"/>
        </w:rPr>
        <w:t xml:space="preserve"> the population of Oxfordshire </w:t>
      </w:r>
      <w:r w:rsidR="00F20C0A">
        <w:rPr>
          <w:rFonts w:eastAsia="Times New Roman"/>
          <w:noProof/>
          <w:lang w:val="en-US" w:eastAsia="en-GB"/>
        </w:rPr>
        <w:t xml:space="preserve"> increased by </w:t>
      </w:r>
      <w:r w:rsidR="76E1B556" w:rsidRPr="00E2149B">
        <w:rPr>
          <w:rFonts w:eastAsia="Times New Roman"/>
          <w:noProof/>
          <w:lang w:val="en-US" w:eastAsia="en-GB"/>
        </w:rPr>
        <w:t xml:space="preserve">11% </w:t>
      </w:r>
      <w:r w:rsidR="000A724F">
        <w:rPr>
          <w:rFonts w:eastAsia="Times New Roman"/>
          <w:noProof/>
          <w:lang w:val="en-US" w:eastAsia="en-GB"/>
        </w:rPr>
        <w:t xml:space="preserve">(above the growth in England at 6.6%) </w:t>
      </w:r>
      <w:r w:rsidR="00F20C0A">
        <w:rPr>
          <w:rFonts w:eastAsia="Times New Roman"/>
          <w:noProof/>
          <w:lang w:val="en-US" w:eastAsia="en-GB"/>
        </w:rPr>
        <w:t xml:space="preserve">where </w:t>
      </w:r>
      <w:r w:rsidR="00635C65" w:rsidRPr="00E2149B">
        <w:rPr>
          <w:rFonts w:eastAsia="Times New Roman"/>
          <w:noProof/>
          <w:lang w:val="en-US" w:eastAsia="en-GB"/>
        </w:rPr>
        <w:t>the number of people aged 65 and over inreased by 25%</w:t>
      </w:r>
      <w:r w:rsidR="00F15821">
        <w:rPr>
          <w:rFonts w:eastAsia="Times New Roman"/>
          <w:noProof/>
          <w:lang w:val="en-US" w:eastAsia="en-GB"/>
        </w:rPr>
        <w:t xml:space="preserve"> in the last decade</w:t>
      </w:r>
      <w:r w:rsidR="00F20C0A">
        <w:rPr>
          <w:rFonts w:eastAsia="Times New Roman"/>
          <w:noProof/>
          <w:lang w:val="en-US" w:eastAsia="en-GB"/>
        </w:rPr>
        <w:t xml:space="preserve">. </w:t>
      </w:r>
      <w:r w:rsidR="000736DA" w:rsidRPr="00E2149B">
        <w:rPr>
          <w:rFonts w:eastAsia="Times New Roman"/>
          <w:noProof/>
          <w:lang w:val="en-US" w:eastAsia="en-GB"/>
        </w:rPr>
        <w:t xml:space="preserve"> </w:t>
      </w:r>
      <w:r w:rsidR="001362E4" w:rsidRPr="00E2149B">
        <w:rPr>
          <w:rFonts w:eastAsia="Times New Roman"/>
          <w:noProof/>
          <w:lang w:val="en-US" w:eastAsia="en-GB"/>
        </w:rPr>
        <w:t>Currently, t</w:t>
      </w:r>
      <w:r w:rsidR="000736DA" w:rsidRPr="00E2149B">
        <w:rPr>
          <w:rFonts w:eastAsia="Times New Roman"/>
          <w:noProof/>
          <w:lang w:val="en-US" w:eastAsia="en-GB"/>
        </w:rPr>
        <w:t xml:space="preserve">here are nearly 130,000 older people </w:t>
      </w:r>
      <w:r w:rsidR="001362E4" w:rsidRPr="00E2149B">
        <w:rPr>
          <w:rFonts w:eastAsia="Times New Roman"/>
          <w:noProof/>
          <w:lang w:val="en-US" w:eastAsia="en-GB"/>
        </w:rPr>
        <w:t xml:space="preserve">aged 65 and over </w:t>
      </w:r>
      <w:r w:rsidR="000736DA" w:rsidRPr="00E2149B">
        <w:rPr>
          <w:rFonts w:eastAsia="Times New Roman"/>
          <w:noProof/>
          <w:lang w:val="en-US" w:eastAsia="en-GB"/>
        </w:rPr>
        <w:t>in Oxfordshire</w:t>
      </w:r>
      <w:r w:rsidR="00F20C0A">
        <w:rPr>
          <w:rFonts w:eastAsia="Times New Roman"/>
          <w:noProof/>
          <w:lang w:val="en-US" w:eastAsia="en-GB"/>
        </w:rPr>
        <w:t xml:space="preserve"> and this is </w:t>
      </w:r>
      <w:r w:rsidR="000736DA" w:rsidRPr="00E2149B">
        <w:rPr>
          <w:rFonts w:eastAsia="Times New Roman"/>
          <w:noProof/>
          <w:lang w:val="en-US" w:eastAsia="en-GB"/>
        </w:rPr>
        <w:t xml:space="preserve">projected to increase by </w:t>
      </w:r>
      <w:r w:rsidR="003A2D03" w:rsidRPr="00E2149B">
        <w:rPr>
          <w:rFonts w:eastAsia="Times New Roman"/>
          <w:noProof/>
          <w:lang w:val="en-US" w:eastAsia="en-GB"/>
        </w:rPr>
        <w:t xml:space="preserve">another </w:t>
      </w:r>
      <w:r w:rsidR="000736DA" w:rsidRPr="00E2149B">
        <w:rPr>
          <w:rFonts w:eastAsia="Times New Roman"/>
          <w:noProof/>
          <w:lang w:val="en-US" w:eastAsia="en-GB"/>
        </w:rPr>
        <w:t>25%</w:t>
      </w:r>
      <w:r w:rsidR="00F20C0A">
        <w:rPr>
          <w:rFonts w:eastAsia="Times New Roman"/>
          <w:noProof/>
          <w:lang w:val="en-US" w:eastAsia="en-GB"/>
        </w:rPr>
        <w:t xml:space="preserve"> by 2030</w:t>
      </w:r>
    </w:p>
    <w:p w14:paraId="1EA74347" w14:textId="0ABD9042" w:rsidR="000A724F" w:rsidRPr="002E2268" w:rsidRDefault="000A724F" w:rsidP="00985D06">
      <w:pPr>
        <w:spacing w:after="120" w:line="264" w:lineRule="auto"/>
      </w:pPr>
      <w:r w:rsidRPr="002E2268">
        <w:t>In 2021, older people aged 65+ made up 20% of the estimated population of Oxfordshire’s four rural districts, compared with 12% of the population of Oxford City</w:t>
      </w:r>
    </w:p>
    <w:p w14:paraId="667FFEAC" w14:textId="4273FBF5" w:rsidR="002E2268" w:rsidRPr="002E2268" w:rsidRDefault="000A724F" w:rsidP="00985D06">
      <w:pPr>
        <w:spacing w:after="120" w:line="264" w:lineRule="auto"/>
      </w:pPr>
      <w:r w:rsidRPr="002E2268">
        <w:t>Over the past 20 years (between 2001 and 2021), there was an increase in the population of Oxfordshire from 605,400 to 725,200, a growth of 119,800 (+20%)</w:t>
      </w:r>
      <w:r w:rsidR="002E2268" w:rsidRPr="002E2268">
        <w:t>.</w:t>
      </w:r>
    </w:p>
    <w:p w14:paraId="04E14FE2" w14:textId="77777777" w:rsidR="002E2268" w:rsidRPr="002E2268" w:rsidRDefault="000A724F" w:rsidP="002E2268">
      <w:pPr>
        <w:pStyle w:val="ListParagraph"/>
        <w:numPr>
          <w:ilvl w:val="0"/>
          <w:numId w:val="31"/>
        </w:numPr>
        <w:spacing w:after="120" w:line="264" w:lineRule="auto"/>
      </w:pPr>
      <w:r w:rsidRPr="002E2268">
        <w:t xml:space="preserve">The younger age group, aged 0-15, increased by 10% </w:t>
      </w:r>
    </w:p>
    <w:p w14:paraId="68277200" w14:textId="6A3B2FA6" w:rsidR="000A724F" w:rsidRPr="002E2268" w:rsidRDefault="000A724F" w:rsidP="002E2268">
      <w:pPr>
        <w:pStyle w:val="ListParagraph"/>
        <w:numPr>
          <w:ilvl w:val="0"/>
          <w:numId w:val="31"/>
        </w:numPr>
        <w:spacing w:after="120" w:line="264" w:lineRule="auto"/>
        <w:rPr>
          <w:rFonts w:eastAsia="Times New Roman"/>
          <w:noProof/>
          <w:lang w:val="en-US" w:eastAsia="en-GB"/>
        </w:rPr>
      </w:pPr>
      <w:r w:rsidRPr="002E2268">
        <w:t>The older age group, aged 65 and over, increased by 48%</w:t>
      </w:r>
    </w:p>
    <w:p w14:paraId="7360A3B9" w14:textId="77777777" w:rsidR="002E2268" w:rsidRPr="002E2268" w:rsidRDefault="002E2268" w:rsidP="002E2268">
      <w:pPr>
        <w:pStyle w:val="ListParagraph"/>
        <w:spacing w:after="120" w:line="264" w:lineRule="auto"/>
        <w:ind w:left="1440"/>
        <w:rPr>
          <w:rFonts w:eastAsia="Times New Roman"/>
          <w:noProof/>
          <w:lang w:val="en-US" w:eastAsia="en-GB"/>
        </w:rPr>
      </w:pPr>
    </w:p>
    <w:p w14:paraId="6C13E9CE" w14:textId="16A96071" w:rsidR="00F75AE4" w:rsidRDefault="000A724F" w:rsidP="00985D06">
      <w:pPr>
        <w:spacing w:after="120" w:line="264" w:lineRule="auto"/>
        <w:rPr>
          <w:rFonts w:eastAsia="Times New Roman"/>
          <w:noProof/>
          <w:lang w:val="en-US" w:eastAsia="en-GB"/>
        </w:rPr>
      </w:pPr>
      <w:r w:rsidRPr="002E2268">
        <w:rPr>
          <w:rFonts w:eastAsia="Times New Roman"/>
          <w:noProof/>
          <w:lang w:val="en-US" w:eastAsia="en-GB"/>
        </w:rPr>
        <w:lastRenderedPageBreak/>
        <w:t>Between 2011-2021, Oxfordshire’s population increased by 10.9%</w:t>
      </w:r>
      <w:r w:rsidR="002E2268">
        <w:rPr>
          <w:rFonts w:eastAsia="Times New Roman"/>
          <w:noProof/>
          <w:lang w:val="en-US" w:eastAsia="en-GB"/>
        </w:rPr>
        <w:t xml:space="preserve">. </w:t>
      </w:r>
      <w:r w:rsidR="00191B69" w:rsidRPr="00E2149B">
        <w:rPr>
          <w:rFonts w:eastAsia="Times New Roman"/>
          <w:noProof/>
          <w:lang w:val="en-US" w:eastAsia="en-GB"/>
        </w:rPr>
        <w:t>In addition to the increasing prop</w:t>
      </w:r>
      <w:r w:rsidR="003A2D03" w:rsidRPr="00E2149B">
        <w:rPr>
          <w:rFonts w:eastAsia="Times New Roman"/>
          <w:noProof/>
          <w:lang w:val="en-US" w:eastAsia="en-GB"/>
        </w:rPr>
        <w:t>o</w:t>
      </w:r>
      <w:r w:rsidR="00191B69" w:rsidRPr="00E2149B">
        <w:rPr>
          <w:rFonts w:eastAsia="Times New Roman"/>
          <w:noProof/>
          <w:lang w:val="en-US" w:eastAsia="en-GB"/>
        </w:rPr>
        <w:t xml:space="preserve">rtion of older people, more </w:t>
      </w:r>
      <w:r w:rsidR="00F75AE4">
        <w:rPr>
          <w:rFonts w:eastAsia="Times New Roman"/>
          <w:noProof/>
          <w:lang w:val="en-US" w:eastAsia="en-GB"/>
        </w:rPr>
        <w:t>adults and older people</w:t>
      </w:r>
      <w:r w:rsidR="00F75AE4" w:rsidRPr="00E2149B">
        <w:rPr>
          <w:rFonts w:eastAsia="Times New Roman"/>
          <w:noProof/>
          <w:lang w:val="en-US" w:eastAsia="en-GB"/>
        </w:rPr>
        <w:t xml:space="preserve"> </w:t>
      </w:r>
      <w:r w:rsidR="00191B69" w:rsidRPr="00E2149B">
        <w:rPr>
          <w:rFonts w:eastAsia="Times New Roman"/>
          <w:noProof/>
          <w:lang w:val="en-US" w:eastAsia="en-GB"/>
        </w:rPr>
        <w:t>are expected to face difficulties in their daily life</w:t>
      </w:r>
      <w:r w:rsidR="00F75AE4">
        <w:rPr>
          <w:rFonts w:eastAsia="Times New Roman"/>
          <w:noProof/>
          <w:lang w:val="en-US" w:eastAsia="en-GB"/>
        </w:rPr>
        <w:t xml:space="preserve">. </w:t>
      </w:r>
    </w:p>
    <w:tbl>
      <w:tblPr>
        <w:tblStyle w:val="TableGrid"/>
        <w:tblW w:w="0" w:type="auto"/>
        <w:tblLook w:val="04A0" w:firstRow="1" w:lastRow="0" w:firstColumn="1" w:lastColumn="0" w:noHBand="0" w:noVBand="1"/>
      </w:tblPr>
      <w:tblGrid>
        <w:gridCol w:w="2263"/>
        <w:gridCol w:w="1902"/>
        <w:gridCol w:w="1902"/>
        <w:gridCol w:w="1902"/>
        <w:gridCol w:w="2204"/>
      </w:tblGrid>
      <w:tr w:rsidR="00E55CA9" w:rsidRPr="00F15821" w14:paraId="58DF4F04" w14:textId="77777777" w:rsidTr="002E2268">
        <w:tc>
          <w:tcPr>
            <w:tcW w:w="2263" w:type="dxa"/>
          </w:tcPr>
          <w:p w14:paraId="246C6735" w14:textId="77777777" w:rsidR="00E55CA9" w:rsidRPr="00F15821" w:rsidRDefault="00E55CA9" w:rsidP="00985D06">
            <w:pPr>
              <w:spacing w:after="120" w:line="264" w:lineRule="auto"/>
              <w:rPr>
                <w:rFonts w:ascii="Arial" w:eastAsia="Times New Roman" w:hAnsi="Arial" w:cs="Arial"/>
                <w:noProof/>
                <w:lang w:val="en-US" w:eastAsia="en-GB"/>
              </w:rPr>
            </w:pPr>
          </w:p>
        </w:tc>
        <w:tc>
          <w:tcPr>
            <w:tcW w:w="1902" w:type="dxa"/>
          </w:tcPr>
          <w:p w14:paraId="6DC016EC" w14:textId="2DC01933" w:rsidR="00E55CA9" w:rsidRPr="00F15821" w:rsidRDefault="00E55CA9" w:rsidP="00F15821">
            <w:pPr>
              <w:spacing w:after="120" w:line="264" w:lineRule="auto"/>
              <w:jc w:val="center"/>
              <w:rPr>
                <w:rFonts w:ascii="Arial" w:eastAsia="Times New Roman" w:hAnsi="Arial" w:cs="Arial"/>
                <w:noProof/>
                <w:lang w:val="en-US" w:eastAsia="en-GB"/>
              </w:rPr>
            </w:pPr>
            <w:r>
              <w:rPr>
                <w:rFonts w:ascii="Arial" w:eastAsia="Times New Roman" w:hAnsi="Arial" w:cs="Arial"/>
                <w:noProof/>
                <w:lang w:val="en-US" w:eastAsia="en-GB"/>
              </w:rPr>
              <w:t xml:space="preserve">In </w:t>
            </w:r>
            <w:r w:rsidRPr="00F15821">
              <w:rPr>
                <w:rFonts w:ascii="Arial" w:eastAsia="Times New Roman" w:hAnsi="Arial" w:cs="Arial"/>
                <w:noProof/>
                <w:lang w:val="en-US" w:eastAsia="en-GB"/>
              </w:rPr>
              <w:t>2020</w:t>
            </w:r>
          </w:p>
        </w:tc>
        <w:tc>
          <w:tcPr>
            <w:tcW w:w="1902" w:type="dxa"/>
          </w:tcPr>
          <w:p w14:paraId="1DCBA4B4" w14:textId="55667AF4" w:rsidR="00E55CA9" w:rsidRPr="002E2268" w:rsidRDefault="00E55CA9" w:rsidP="00F15821">
            <w:pPr>
              <w:spacing w:after="120" w:line="264" w:lineRule="auto"/>
              <w:jc w:val="center"/>
              <w:rPr>
                <w:rFonts w:eastAsia="Times New Roman"/>
                <w:noProof/>
                <w:color w:val="F79646" w:themeColor="accent6"/>
                <w:lang w:val="en-US" w:eastAsia="en-GB"/>
              </w:rPr>
            </w:pPr>
            <w:r w:rsidRPr="00BC5DD6">
              <w:rPr>
                <w:rFonts w:ascii="Arial" w:eastAsia="Times New Roman" w:hAnsi="Arial" w:cs="Arial"/>
                <w:noProof/>
                <w:color w:val="984806" w:themeColor="accent6" w:themeShade="80"/>
                <w:lang w:val="en-US" w:eastAsia="en-GB"/>
              </w:rPr>
              <w:t>In 2023</w:t>
            </w:r>
          </w:p>
        </w:tc>
        <w:tc>
          <w:tcPr>
            <w:tcW w:w="1902" w:type="dxa"/>
          </w:tcPr>
          <w:p w14:paraId="7D3C3E30" w14:textId="59DD672A" w:rsidR="00E55CA9" w:rsidRPr="00F15821" w:rsidRDefault="00E55CA9" w:rsidP="00F15821">
            <w:pPr>
              <w:spacing w:after="120" w:line="264" w:lineRule="auto"/>
              <w:jc w:val="center"/>
              <w:rPr>
                <w:rFonts w:ascii="Arial" w:eastAsia="Times New Roman" w:hAnsi="Arial" w:cs="Arial"/>
                <w:noProof/>
                <w:lang w:val="en-US" w:eastAsia="en-GB"/>
              </w:rPr>
            </w:pPr>
            <w:r>
              <w:rPr>
                <w:rFonts w:ascii="Arial" w:eastAsia="Times New Roman" w:hAnsi="Arial" w:cs="Arial"/>
                <w:noProof/>
                <w:lang w:val="en-US" w:eastAsia="en-GB"/>
              </w:rPr>
              <w:t xml:space="preserve">By </w:t>
            </w:r>
            <w:r w:rsidRPr="00F15821">
              <w:rPr>
                <w:rFonts w:ascii="Arial" w:eastAsia="Times New Roman" w:hAnsi="Arial" w:cs="Arial"/>
                <w:noProof/>
                <w:lang w:val="en-US" w:eastAsia="en-GB"/>
              </w:rPr>
              <w:t>2030</w:t>
            </w:r>
          </w:p>
        </w:tc>
        <w:tc>
          <w:tcPr>
            <w:tcW w:w="2204" w:type="dxa"/>
          </w:tcPr>
          <w:p w14:paraId="0B2AAB5B" w14:textId="11A791A6"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Increase</w:t>
            </w:r>
          </w:p>
        </w:tc>
      </w:tr>
      <w:tr w:rsidR="00E55CA9" w:rsidRPr="00F15821" w14:paraId="5B310E66" w14:textId="77777777" w:rsidTr="002E2268">
        <w:tc>
          <w:tcPr>
            <w:tcW w:w="2263" w:type="dxa"/>
          </w:tcPr>
          <w:p w14:paraId="7955E56F" w14:textId="77777777" w:rsidR="00E55CA9" w:rsidRPr="00F15821" w:rsidRDefault="00E55CA9" w:rsidP="00F75AE4">
            <w:pPr>
              <w:spacing w:after="120" w:line="264" w:lineRule="auto"/>
              <w:rPr>
                <w:rFonts w:eastAsia="Times New Roman"/>
                <w:noProof/>
                <w:lang w:val="en-US" w:eastAsia="en-GB"/>
              </w:rPr>
            </w:pPr>
          </w:p>
        </w:tc>
        <w:tc>
          <w:tcPr>
            <w:tcW w:w="7910" w:type="dxa"/>
            <w:gridSpan w:val="4"/>
          </w:tcPr>
          <w:p w14:paraId="73379E74" w14:textId="287A5D31" w:rsidR="00E55CA9" w:rsidRPr="002E2268" w:rsidRDefault="00E55CA9" w:rsidP="00F75AE4">
            <w:pPr>
              <w:spacing w:after="120" w:line="264" w:lineRule="auto"/>
              <w:rPr>
                <w:rFonts w:ascii="Arial" w:eastAsia="Times New Roman" w:hAnsi="Arial" w:cs="Arial"/>
                <w:b/>
                <w:bCs/>
                <w:noProof/>
                <w:lang w:val="en-US" w:eastAsia="en-GB"/>
              </w:rPr>
            </w:pPr>
            <w:r w:rsidRPr="002E2268">
              <w:rPr>
                <w:rFonts w:ascii="Arial" w:eastAsia="Times New Roman" w:hAnsi="Arial" w:cs="Arial"/>
                <w:b/>
                <w:bCs/>
                <w:noProof/>
                <w:lang w:val="en-US" w:eastAsia="en-GB"/>
              </w:rPr>
              <w:t>Over 65s living with a long term illness whose day to day activities are:</w:t>
            </w:r>
          </w:p>
        </w:tc>
      </w:tr>
      <w:tr w:rsidR="00E55CA9" w:rsidRPr="00F15821" w14:paraId="747EC3C0" w14:textId="77777777" w:rsidTr="002E2268">
        <w:tc>
          <w:tcPr>
            <w:tcW w:w="2263" w:type="dxa"/>
          </w:tcPr>
          <w:p w14:paraId="04023946" w14:textId="2171AD95" w:rsidR="00E55CA9" w:rsidRPr="00F15821" w:rsidRDefault="00E55CA9" w:rsidP="00985D06">
            <w:pPr>
              <w:spacing w:after="120" w:line="264" w:lineRule="auto"/>
              <w:rPr>
                <w:rFonts w:ascii="Arial" w:eastAsia="Times New Roman" w:hAnsi="Arial" w:cs="Arial"/>
                <w:noProof/>
                <w:lang w:val="en-US" w:eastAsia="en-GB"/>
              </w:rPr>
            </w:pPr>
            <w:r w:rsidRPr="00F15821">
              <w:rPr>
                <w:rFonts w:ascii="Arial" w:eastAsia="Times New Roman" w:hAnsi="Arial" w:cs="Arial"/>
                <w:noProof/>
                <w:lang w:val="en-US" w:eastAsia="en-GB"/>
              </w:rPr>
              <w:t>Limited a little</w:t>
            </w:r>
          </w:p>
        </w:tc>
        <w:tc>
          <w:tcPr>
            <w:tcW w:w="1902" w:type="dxa"/>
          </w:tcPr>
          <w:p w14:paraId="645BDA37" w14:textId="7508571E"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31,361</w:t>
            </w:r>
          </w:p>
        </w:tc>
        <w:tc>
          <w:tcPr>
            <w:tcW w:w="1902" w:type="dxa"/>
          </w:tcPr>
          <w:p w14:paraId="60E65CA8" w14:textId="0B26414D" w:rsidR="00E55CA9" w:rsidRPr="00BC5DD6" w:rsidRDefault="00E55CA9" w:rsidP="00F15821">
            <w:pPr>
              <w:spacing w:after="120" w:line="264" w:lineRule="auto"/>
              <w:jc w:val="center"/>
              <w:rPr>
                <w:rFonts w:ascii="Arial" w:eastAsia="Times New Roman" w:hAnsi="Arial" w:cs="Arial"/>
                <w:noProof/>
                <w:color w:val="984806" w:themeColor="accent6" w:themeShade="80"/>
                <w:lang w:val="en-US" w:eastAsia="en-GB"/>
              </w:rPr>
            </w:pPr>
            <w:r w:rsidRPr="00BC5DD6">
              <w:rPr>
                <w:rFonts w:ascii="Arial" w:eastAsia="Times New Roman" w:hAnsi="Arial" w:cs="Arial"/>
                <w:noProof/>
                <w:color w:val="984806" w:themeColor="accent6" w:themeShade="80"/>
                <w:lang w:val="en-US" w:eastAsia="en-GB"/>
              </w:rPr>
              <w:t>33,458</w:t>
            </w:r>
          </w:p>
        </w:tc>
        <w:tc>
          <w:tcPr>
            <w:tcW w:w="1902" w:type="dxa"/>
          </w:tcPr>
          <w:p w14:paraId="32CF5B21" w14:textId="6F4FBBD9"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38,997</w:t>
            </w:r>
          </w:p>
        </w:tc>
        <w:tc>
          <w:tcPr>
            <w:tcW w:w="2204" w:type="dxa"/>
          </w:tcPr>
          <w:p w14:paraId="57E7D116" w14:textId="578339E8" w:rsidR="00E55CA9" w:rsidRPr="00F15821" w:rsidRDefault="00E55CA9" w:rsidP="00F15821">
            <w:pPr>
              <w:spacing w:after="120" w:line="264" w:lineRule="auto"/>
              <w:jc w:val="center"/>
              <w:rPr>
                <w:rFonts w:ascii="Arial" w:eastAsia="Times New Roman" w:hAnsi="Arial" w:cs="Arial"/>
                <w:noProof/>
                <w:lang w:val="en-US" w:eastAsia="en-GB"/>
              </w:rPr>
            </w:pPr>
            <w:r>
              <w:rPr>
                <w:rFonts w:ascii="Arial" w:eastAsia="Times New Roman" w:hAnsi="Arial" w:cs="Arial"/>
                <w:noProof/>
                <w:lang w:val="en-US" w:eastAsia="en-GB"/>
              </w:rPr>
              <w:t>+</w:t>
            </w:r>
            <w:r w:rsidRPr="00F15821">
              <w:rPr>
                <w:rFonts w:ascii="Arial" w:eastAsia="Times New Roman" w:hAnsi="Arial" w:cs="Arial"/>
                <w:noProof/>
                <w:lang w:val="en-US" w:eastAsia="en-GB"/>
              </w:rPr>
              <w:t>24%</w:t>
            </w:r>
          </w:p>
        </w:tc>
      </w:tr>
      <w:tr w:rsidR="00E55CA9" w:rsidRPr="00F15821" w14:paraId="025AC2F5" w14:textId="77777777" w:rsidTr="002E2268">
        <w:tc>
          <w:tcPr>
            <w:tcW w:w="2263" w:type="dxa"/>
          </w:tcPr>
          <w:p w14:paraId="3E288B32" w14:textId="593124F0" w:rsidR="00E55CA9" w:rsidRPr="00F15821" w:rsidRDefault="00E55CA9" w:rsidP="00985D06">
            <w:pPr>
              <w:spacing w:after="120" w:line="264" w:lineRule="auto"/>
              <w:rPr>
                <w:rFonts w:ascii="Arial" w:eastAsia="Times New Roman" w:hAnsi="Arial" w:cs="Arial"/>
                <w:noProof/>
                <w:lang w:val="en-US" w:eastAsia="en-GB"/>
              </w:rPr>
            </w:pPr>
            <w:r w:rsidRPr="00F15821">
              <w:rPr>
                <w:rFonts w:ascii="Arial" w:eastAsia="Times New Roman" w:hAnsi="Arial" w:cs="Arial"/>
                <w:noProof/>
                <w:lang w:val="en-US" w:eastAsia="en-GB"/>
              </w:rPr>
              <w:t>Limited a lot</w:t>
            </w:r>
          </w:p>
        </w:tc>
        <w:tc>
          <w:tcPr>
            <w:tcW w:w="1902" w:type="dxa"/>
          </w:tcPr>
          <w:p w14:paraId="3470CD1D" w14:textId="74A11230"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24,664</w:t>
            </w:r>
          </w:p>
        </w:tc>
        <w:tc>
          <w:tcPr>
            <w:tcW w:w="1902" w:type="dxa"/>
          </w:tcPr>
          <w:p w14:paraId="68591EEC" w14:textId="264BEC95" w:rsidR="00E55CA9" w:rsidRPr="00BC5DD6" w:rsidRDefault="00E55CA9" w:rsidP="00F15821">
            <w:pPr>
              <w:spacing w:after="120" w:line="264" w:lineRule="auto"/>
              <w:jc w:val="center"/>
              <w:rPr>
                <w:rFonts w:ascii="Arial" w:eastAsia="Times New Roman" w:hAnsi="Arial" w:cs="Arial"/>
                <w:noProof/>
                <w:color w:val="984806" w:themeColor="accent6" w:themeShade="80"/>
                <w:lang w:val="en-US" w:eastAsia="en-GB"/>
              </w:rPr>
            </w:pPr>
            <w:r w:rsidRPr="00BC5DD6">
              <w:rPr>
                <w:rFonts w:ascii="Arial" w:eastAsia="Times New Roman" w:hAnsi="Arial" w:cs="Arial"/>
                <w:noProof/>
                <w:color w:val="984806" w:themeColor="accent6" w:themeShade="80"/>
                <w:lang w:val="en-US" w:eastAsia="en-GB"/>
              </w:rPr>
              <w:t>26,764</w:t>
            </w:r>
          </w:p>
        </w:tc>
        <w:tc>
          <w:tcPr>
            <w:tcW w:w="1902" w:type="dxa"/>
          </w:tcPr>
          <w:p w14:paraId="6679A41B" w14:textId="007D775F"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31,559</w:t>
            </w:r>
          </w:p>
        </w:tc>
        <w:tc>
          <w:tcPr>
            <w:tcW w:w="2204" w:type="dxa"/>
          </w:tcPr>
          <w:p w14:paraId="63998017" w14:textId="15F9DE19" w:rsidR="00E55CA9" w:rsidRPr="00F15821" w:rsidRDefault="00E55CA9" w:rsidP="00F15821">
            <w:pPr>
              <w:spacing w:after="120" w:line="264" w:lineRule="auto"/>
              <w:jc w:val="center"/>
              <w:rPr>
                <w:rFonts w:ascii="Arial" w:eastAsia="Times New Roman" w:hAnsi="Arial" w:cs="Arial"/>
                <w:noProof/>
                <w:lang w:val="en-US" w:eastAsia="en-GB"/>
              </w:rPr>
            </w:pPr>
            <w:r>
              <w:rPr>
                <w:rFonts w:ascii="Arial" w:eastAsia="Times New Roman" w:hAnsi="Arial" w:cs="Arial"/>
                <w:noProof/>
                <w:lang w:val="en-US" w:eastAsia="en-GB"/>
              </w:rPr>
              <w:t>+</w:t>
            </w:r>
            <w:r w:rsidRPr="00F15821">
              <w:rPr>
                <w:rFonts w:ascii="Arial" w:eastAsia="Times New Roman" w:hAnsi="Arial" w:cs="Arial"/>
                <w:noProof/>
                <w:lang w:val="en-US" w:eastAsia="en-GB"/>
              </w:rPr>
              <w:t>28%</w:t>
            </w:r>
          </w:p>
        </w:tc>
      </w:tr>
      <w:tr w:rsidR="00E55CA9" w:rsidRPr="00F15821" w14:paraId="02D79FF8" w14:textId="77777777" w:rsidTr="002E2268">
        <w:tc>
          <w:tcPr>
            <w:tcW w:w="2263" w:type="dxa"/>
          </w:tcPr>
          <w:p w14:paraId="420E8996" w14:textId="77777777" w:rsidR="00E55CA9" w:rsidRPr="00F15821" w:rsidRDefault="00E55CA9" w:rsidP="00F75AE4">
            <w:pPr>
              <w:spacing w:after="120" w:line="264" w:lineRule="auto"/>
              <w:rPr>
                <w:rFonts w:eastAsia="Times New Roman"/>
                <w:noProof/>
                <w:lang w:val="en-US" w:eastAsia="en-GB"/>
              </w:rPr>
            </w:pPr>
          </w:p>
        </w:tc>
        <w:tc>
          <w:tcPr>
            <w:tcW w:w="7910" w:type="dxa"/>
            <w:gridSpan w:val="4"/>
          </w:tcPr>
          <w:p w14:paraId="279200CF" w14:textId="3E043268" w:rsidR="00E55CA9" w:rsidRPr="002E2268" w:rsidRDefault="00E55CA9" w:rsidP="00F75AE4">
            <w:pPr>
              <w:spacing w:after="120" w:line="264" w:lineRule="auto"/>
              <w:rPr>
                <w:rFonts w:ascii="Arial" w:eastAsia="Times New Roman" w:hAnsi="Arial" w:cs="Arial"/>
                <w:b/>
                <w:bCs/>
                <w:noProof/>
                <w:lang w:val="en-US" w:eastAsia="en-GB"/>
              </w:rPr>
            </w:pPr>
            <w:r w:rsidRPr="002E2268">
              <w:rPr>
                <w:rFonts w:ascii="Arial" w:eastAsia="Times New Roman" w:hAnsi="Arial" w:cs="Arial"/>
                <w:b/>
                <w:bCs/>
                <w:noProof/>
                <w:lang w:val="en-US" w:eastAsia="en-GB"/>
              </w:rPr>
              <w:t>Have dementia</w:t>
            </w:r>
          </w:p>
        </w:tc>
      </w:tr>
      <w:tr w:rsidR="00E55CA9" w:rsidRPr="00F15821" w14:paraId="3BD239D2" w14:textId="77777777" w:rsidTr="002E2268">
        <w:tc>
          <w:tcPr>
            <w:tcW w:w="2263" w:type="dxa"/>
          </w:tcPr>
          <w:p w14:paraId="2520AE0F" w14:textId="3353321B" w:rsidR="00E55CA9" w:rsidRPr="00F15821" w:rsidRDefault="00E55CA9" w:rsidP="00985D06">
            <w:pPr>
              <w:spacing w:after="120" w:line="264" w:lineRule="auto"/>
              <w:rPr>
                <w:rFonts w:ascii="Arial" w:eastAsia="Times New Roman" w:hAnsi="Arial" w:cs="Arial"/>
                <w:noProof/>
                <w:lang w:val="en-US" w:eastAsia="en-GB"/>
              </w:rPr>
            </w:pPr>
            <w:r w:rsidRPr="00F15821">
              <w:rPr>
                <w:rFonts w:ascii="Arial" w:eastAsia="Times New Roman" w:hAnsi="Arial" w:cs="Arial"/>
                <w:noProof/>
                <w:lang w:val="en-US" w:eastAsia="en-GB"/>
              </w:rPr>
              <w:t>Early onset age 30-60</w:t>
            </w:r>
          </w:p>
        </w:tc>
        <w:tc>
          <w:tcPr>
            <w:tcW w:w="1902" w:type="dxa"/>
          </w:tcPr>
          <w:p w14:paraId="71C23B6F" w14:textId="17D4F95F"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179</w:t>
            </w:r>
          </w:p>
        </w:tc>
        <w:tc>
          <w:tcPr>
            <w:tcW w:w="1902" w:type="dxa"/>
          </w:tcPr>
          <w:p w14:paraId="047A091E" w14:textId="767ED022" w:rsidR="00E55CA9" w:rsidRPr="00BC5DD6" w:rsidRDefault="00E55CA9" w:rsidP="00F15821">
            <w:pPr>
              <w:spacing w:after="120" w:line="264" w:lineRule="auto"/>
              <w:jc w:val="center"/>
              <w:rPr>
                <w:rFonts w:ascii="Arial" w:eastAsia="Times New Roman" w:hAnsi="Arial" w:cs="Arial"/>
                <w:noProof/>
                <w:color w:val="984806" w:themeColor="accent6" w:themeShade="80"/>
                <w:lang w:val="en-US" w:eastAsia="en-GB"/>
              </w:rPr>
            </w:pPr>
            <w:r w:rsidRPr="00BC5DD6">
              <w:rPr>
                <w:rFonts w:ascii="Arial" w:eastAsia="Times New Roman" w:hAnsi="Arial" w:cs="Arial"/>
                <w:noProof/>
                <w:color w:val="984806" w:themeColor="accent6" w:themeShade="80"/>
                <w:lang w:val="en-US" w:eastAsia="en-GB"/>
              </w:rPr>
              <w:t>186</w:t>
            </w:r>
          </w:p>
        </w:tc>
        <w:tc>
          <w:tcPr>
            <w:tcW w:w="1902" w:type="dxa"/>
          </w:tcPr>
          <w:p w14:paraId="436EF4D4" w14:textId="42C1161C"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184</w:t>
            </w:r>
          </w:p>
        </w:tc>
        <w:tc>
          <w:tcPr>
            <w:tcW w:w="2204" w:type="dxa"/>
          </w:tcPr>
          <w:p w14:paraId="12B34B40" w14:textId="54D2E1D1" w:rsidR="00E55CA9" w:rsidRPr="00F15821" w:rsidRDefault="00E55CA9" w:rsidP="00F15821">
            <w:pPr>
              <w:spacing w:after="120" w:line="264" w:lineRule="auto"/>
              <w:jc w:val="center"/>
              <w:rPr>
                <w:rFonts w:ascii="Arial" w:eastAsia="Times New Roman" w:hAnsi="Arial" w:cs="Arial"/>
                <w:noProof/>
                <w:lang w:val="en-US" w:eastAsia="en-GB"/>
              </w:rPr>
            </w:pPr>
            <w:r>
              <w:rPr>
                <w:rFonts w:ascii="Arial" w:eastAsia="Times New Roman" w:hAnsi="Arial" w:cs="Arial"/>
                <w:noProof/>
                <w:lang w:val="en-US" w:eastAsia="en-GB"/>
              </w:rPr>
              <w:t>+</w:t>
            </w:r>
            <w:r w:rsidRPr="00F15821">
              <w:rPr>
                <w:rFonts w:ascii="Arial" w:eastAsia="Times New Roman" w:hAnsi="Arial" w:cs="Arial"/>
                <w:noProof/>
                <w:lang w:val="en-US" w:eastAsia="en-GB"/>
              </w:rPr>
              <w:t>3%</w:t>
            </w:r>
          </w:p>
        </w:tc>
      </w:tr>
      <w:tr w:rsidR="00E55CA9" w:rsidRPr="00F15821" w14:paraId="387EF17E" w14:textId="77777777" w:rsidTr="002E2268">
        <w:tc>
          <w:tcPr>
            <w:tcW w:w="2263" w:type="dxa"/>
          </w:tcPr>
          <w:p w14:paraId="0B00F347" w14:textId="3C5C2F69" w:rsidR="00E55CA9" w:rsidRPr="00F15821" w:rsidRDefault="00E55CA9" w:rsidP="00985D06">
            <w:pPr>
              <w:spacing w:after="120" w:line="264" w:lineRule="auto"/>
              <w:rPr>
                <w:rFonts w:ascii="Arial" w:eastAsia="Times New Roman" w:hAnsi="Arial" w:cs="Arial"/>
                <w:noProof/>
                <w:lang w:val="en-US" w:eastAsia="en-GB"/>
              </w:rPr>
            </w:pPr>
            <w:r w:rsidRPr="00F15821">
              <w:rPr>
                <w:rFonts w:ascii="Arial" w:eastAsia="Times New Roman" w:hAnsi="Arial" w:cs="Arial"/>
                <w:noProof/>
                <w:lang w:val="en-US" w:eastAsia="en-GB"/>
              </w:rPr>
              <w:t>65 +</w:t>
            </w:r>
          </w:p>
        </w:tc>
        <w:tc>
          <w:tcPr>
            <w:tcW w:w="1902" w:type="dxa"/>
          </w:tcPr>
          <w:p w14:paraId="3E8190EF" w14:textId="54F5D46A"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9,548</w:t>
            </w:r>
          </w:p>
        </w:tc>
        <w:tc>
          <w:tcPr>
            <w:tcW w:w="1902" w:type="dxa"/>
          </w:tcPr>
          <w:p w14:paraId="4EFAA98A" w14:textId="0F86CB8C" w:rsidR="00E55CA9" w:rsidRPr="00BC5DD6" w:rsidRDefault="00E55CA9" w:rsidP="00F15821">
            <w:pPr>
              <w:spacing w:after="120" w:line="264" w:lineRule="auto"/>
              <w:jc w:val="center"/>
              <w:rPr>
                <w:rFonts w:ascii="Arial" w:eastAsia="Times New Roman" w:hAnsi="Arial" w:cs="Arial"/>
                <w:noProof/>
                <w:color w:val="984806" w:themeColor="accent6" w:themeShade="80"/>
                <w:lang w:val="en-US" w:eastAsia="en-GB"/>
              </w:rPr>
            </w:pPr>
            <w:r w:rsidRPr="00BC5DD6">
              <w:rPr>
                <w:rFonts w:ascii="Arial" w:eastAsia="Times New Roman" w:hAnsi="Arial" w:cs="Arial"/>
                <w:noProof/>
                <w:color w:val="984806" w:themeColor="accent6" w:themeShade="80"/>
                <w:lang w:val="en-US" w:eastAsia="en-GB"/>
              </w:rPr>
              <w:t>10,321</w:t>
            </w:r>
          </w:p>
        </w:tc>
        <w:tc>
          <w:tcPr>
            <w:tcW w:w="1902" w:type="dxa"/>
          </w:tcPr>
          <w:p w14:paraId="0BA1E5C3" w14:textId="58BC6850"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12,514</w:t>
            </w:r>
          </w:p>
        </w:tc>
        <w:tc>
          <w:tcPr>
            <w:tcW w:w="2204" w:type="dxa"/>
          </w:tcPr>
          <w:p w14:paraId="5CF82183" w14:textId="1FF696AF" w:rsidR="00E55CA9" w:rsidRPr="00F15821" w:rsidRDefault="00E55CA9" w:rsidP="00F15821">
            <w:pPr>
              <w:spacing w:after="120" w:line="264" w:lineRule="auto"/>
              <w:jc w:val="center"/>
              <w:rPr>
                <w:rFonts w:ascii="Arial" w:eastAsia="Times New Roman" w:hAnsi="Arial" w:cs="Arial"/>
                <w:noProof/>
                <w:lang w:val="en-US" w:eastAsia="en-GB"/>
              </w:rPr>
            </w:pPr>
            <w:r>
              <w:rPr>
                <w:rFonts w:ascii="Arial" w:eastAsia="Times New Roman" w:hAnsi="Arial" w:cs="Arial"/>
                <w:noProof/>
                <w:lang w:val="en-US" w:eastAsia="en-GB"/>
              </w:rPr>
              <w:t>+</w:t>
            </w:r>
            <w:r w:rsidRPr="00F15821">
              <w:rPr>
                <w:rFonts w:ascii="Arial" w:eastAsia="Times New Roman" w:hAnsi="Arial" w:cs="Arial"/>
                <w:noProof/>
                <w:lang w:val="en-US" w:eastAsia="en-GB"/>
              </w:rPr>
              <w:t>31%</w:t>
            </w:r>
          </w:p>
        </w:tc>
      </w:tr>
      <w:tr w:rsidR="00E55CA9" w:rsidRPr="00F15821" w14:paraId="0DC29C3D" w14:textId="77777777" w:rsidTr="002E2268">
        <w:tc>
          <w:tcPr>
            <w:tcW w:w="2263" w:type="dxa"/>
          </w:tcPr>
          <w:p w14:paraId="1C5397B9" w14:textId="77777777" w:rsidR="00E55CA9" w:rsidRPr="00F15821" w:rsidRDefault="00E55CA9" w:rsidP="00F75AE4">
            <w:pPr>
              <w:spacing w:after="120" w:line="264" w:lineRule="auto"/>
              <w:rPr>
                <w:rFonts w:eastAsia="Times New Roman"/>
                <w:noProof/>
                <w:lang w:val="en-US" w:eastAsia="en-GB"/>
              </w:rPr>
            </w:pPr>
          </w:p>
        </w:tc>
        <w:tc>
          <w:tcPr>
            <w:tcW w:w="7910" w:type="dxa"/>
            <w:gridSpan w:val="4"/>
          </w:tcPr>
          <w:p w14:paraId="134FB0EB" w14:textId="0147033B" w:rsidR="00E55CA9" w:rsidRPr="002E2268" w:rsidRDefault="00E55CA9" w:rsidP="00F75AE4">
            <w:pPr>
              <w:spacing w:after="120" w:line="264" w:lineRule="auto"/>
              <w:rPr>
                <w:rFonts w:ascii="Arial" w:eastAsia="Times New Roman" w:hAnsi="Arial" w:cs="Arial"/>
                <w:b/>
                <w:bCs/>
                <w:noProof/>
                <w:lang w:val="en-US" w:eastAsia="en-GB"/>
              </w:rPr>
            </w:pPr>
            <w:r w:rsidRPr="002E2268">
              <w:rPr>
                <w:rFonts w:ascii="Arial" w:eastAsia="Times New Roman" w:hAnsi="Arial" w:cs="Arial"/>
                <w:b/>
                <w:bCs/>
                <w:noProof/>
                <w:lang w:val="en-US" w:eastAsia="en-GB"/>
              </w:rPr>
              <w:t>Have moderate or severe learning disability</w:t>
            </w:r>
          </w:p>
        </w:tc>
      </w:tr>
      <w:tr w:rsidR="00E55CA9" w:rsidRPr="00F15821" w14:paraId="3C143E1D" w14:textId="77777777" w:rsidTr="002E2268">
        <w:tc>
          <w:tcPr>
            <w:tcW w:w="2263" w:type="dxa"/>
          </w:tcPr>
          <w:p w14:paraId="5B4F0BED" w14:textId="1B856610" w:rsidR="00E55CA9" w:rsidRPr="00F15821" w:rsidRDefault="00E55CA9" w:rsidP="00985D06">
            <w:pPr>
              <w:spacing w:after="120" w:line="264" w:lineRule="auto"/>
              <w:rPr>
                <w:rFonts w:ascii="Arial" w:eastAsia="Times New Roman" w:hAnsi="Arial" w:cs="Arial"/>
                <w:noProof/>
                <w:lang w:val="en-US" w:eastAsia="en-GB"/>
              </w:rPr>
            </w:pPr>
            <w:r w:rsidRPr="00F15821">
              <w:rPr>
                <w:rFonts w:ascii="Arial" w:eastAsia="Times New Roman" w:hAnsi="Arial" w:cs="Arial"/>
                <w:noProof/>
                <w:lang w:val="en-US" w:eastAsia="en-GB"/>
              </w:rPr>
              <w:t>Age 18-64</w:t>
            </w:r>
          </w:p>
        </w:tc>
        <w:tc>
          <w:tcPr>
            <w:tcW w:w="1902" w:type="dxa"/>
          </w:tcPr>
          <w:p w14:paraId="028960E9" w14:textId="4C55DBEA"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2,335</w:t>
            </w:r>
          </w:p>
        </w:tc>
        <w:tc>
          <w:tcPr>
            <w:tcW w:w="1902" w:type="dxa"/>
          </w:tcPr>
          <w:p w14:paraId="16767C30" w14:textId="664E6AA0" w:rsidR="00E55CA9" w:rsidRPr="00BC5DD6" w:rsidRDefault="00E55CA9" w:rsidP="00F15821">
            <w:pPr>
              <w:spacing w:after="120" w:line="264" w:lineRule="auto"/>
              <w:jc w:val="center"/>
              <w:rPr>
                <w:rFonts w:ascii="Arial" w:eastAsia="Times New Roman" w:hAnsi="Arial" w:cs="Arial"/>
                <w:noProof/>
                <w:color w:val="984806" w:themeColor="accent6" w:themeShade="80"/>
                <w:lang w:val="en-US" w:eastAsia="en-GB"/>
              </w:rPr>
            </w:pPr>
            <w:r w:rsidRPr="00BC5DD6">
              <w:rPr>
                <w:rFonts w:ascii="Arial" w:eastAsia="Times New Roman" w:hAnsi="Arial" w:cs="Arial"/>
                <w:noProof/>
                <w:color w:val="984806" w:themeColor="accent6" w:themeShade="80"/>
                <w:lang w:val="en-US" w:eastAsia="en-GB"/>
              </w:rPr>
              <w:t>2,345</w:t>
            </w:r>
          </w:p>
        </w:tc>
        <w:tc>
          <w:tcPr>
            <w:tcW w:w="1902" w:type="dxa"/>
          </w:tcPr>
          <w:p w14:paraId="6B578E01" w14:textId="69C1472D"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2,37</w:t>
            </w:r>
            <w:r>
              <w:rPr>
                <w:rFonts w:ascii="Arial" w:eastAsia="Times New Roman" w:hAnsi="Arial" w:cs="Arial"/>
                <w:noProof/>
                <w:lang w:val="en-US" w:eastAsia="en-GB"/>
              </w:rPr>
              <w:t>5</w:t>
            </w:r>
          </w:p>
        </w:tc>
        <w:tc>
          <w:tcPr>
            <w:tcW w:w="2204" w:type="dxa"/>
          </w:tcPr>
          <w:p w14:paraId="18EFA186" w14:textId="44130740" w:rsidR="00E55CA9" w:rsidRPr="00F15821" w:rsidRDefault="00E55CA9" w:rsidP="00F15821">
            <w:pPr>
              <w:spacing w:after="120" w:line="264" w:lineRule="auto"/>
              <w:jc w:val="center"/>
              <w:rPr>
                <w:rFonts w:ascii="Arial" w:eastAsia="Times New Roman" w:hAnsi="Arial" w:cs="Arial"/>
                <w:noProof/>
                <w:lang w:val="en-US" w:eastAsia="en-GB"/>
              </w:rPr>
            </w:pPr>
            <w:r>
              <w:rPr>
                <w:rFonts w:ascii="Arial" w:eastAsia="Times New Roman" w:hAnsi="Arial" w:cs="Arial"/>
                <w:noProof/>
                <w:lang w:val="en-US" w:eastAsia="en-GB"/>
              </w:rPr>
              <w:t>+</w:t>
            </w:r>
            <w:r w:rsidRPr="00F15821">
              <w:rPr>
                <w:rFonts w:ascii="Arial" w:eastAsia="Times New Roman" w:hAnsi="Arial" w:cs="Arial"/>
                <w:noProof/>
                <w:lang w:val="en-US" w:eastAsia="en-GB"/>
              </w:rPr>
              <w:t>2%</w:t>
            </w:r>
          </w:p>
        </w:tc>
      </w:tr>
      <w:tr w:rsidR="00E55CA9" w:rsidRPr="00F15821" w14:paraId="3393548B" w14:textId="77777777" w:rsidTr="002E2268">
        <w:tc>
          <w:tcPr>
            <w:tcW w:w="2263" w:type="dxa"/>
          </w:tcPr>
          <w:p w14:paraId="1C0840FB" w14:textId="55FF9189" w:rsidR="00E55CA9" w:rsidRPr="00F15821" w:rsidRDefault="00E55CA9" w:rsidP="00985D06">
            <w:pPr>
              <w:spacing w:after="120" w:line="264" w:lineRule="auto"/>
              <w:rPr>
                <w:rFonts w:ascii="Arial" w:eastAsia="Times New Roman" w:hAnsi="Arial" w:cs="Arial"/>
                <w:noProof/>
                <w:lang w:val="en-US" w:eastAsia="en-GB"/>
              </w:rPr>
            </w:pPr>
            <w:r w:rsidRPr="00F15821">
              <w:rPr>
                <w:rFonts w:ascii="Arial" w:eastAsia="Times New Roman" w:hAnsi="Arial" w:cs="Arial"/>
                <w:noProof/>
                <w:lang w:val="en-US" w:eastAsia="en-GB"/>
              </w:rPr>
              <w:t>65+</w:t>
            </w:r>
          </w:p>
        </w:tc>
        <w:tc>
          <w:tcPr>
            <w:tcW w:w="1902" w:type="dxa"/>
          </w:tcPr>
          <w:p w14:paraId="03B1A771" w14:textId="7D84E30C"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362</w:t>
            </w:r>
          </w:p>
        </w:tc>
        <w:tc>
          <w:tcPr>
            <w:tcW w:w="1902" w:type="dxa"/>
          </w:tcPr>
          <w:p w14:paraId="0A27C0E5" w14:textId="0D908253" w:rsidR="00E55CA9" w:rsidRPr="00BC5DD6" w:rsidRDefault="00E55CA9" w:rsidP="00F15821">
            <w:pPr>
              <w:spacing w:after="120" w:line="264" w:lineRule="auto"/>
              <w:jc w:val="center"/>
              <w:rPr>
                <w:rFonts w:ascii="Arial" w:eastAsia="Times New Roman" w:hAnsi="Arial" w:cs="Arial"/>
                <w:noProof/>
                <w:color w:val="984806" w:themeColor="accent6" w:themeShade="80"/>
                <w:lang w:val="en-US" w:eastAsia="en-GB"/>
              </w:rPr>
            </w:pPr>
            <w:r w:rsidRPr="00BC5DD6">
              <w:rPr>
                <w:rFonts w:ascii="Arial" w:eastAsia="Times New Roman" w:hAnsi="Arial" w:cs="Arial"/>
                <w:noProof/>
                <w:color w:val="984806" w:themeColor="accent6" w:themeShade="80"/>
                <w:lang w:val="en-US" w:eastAsia="en-GB"/>
              </w:rPr>
              <w:t>378</w:t>
            </w:r>
          </w:p>
        </w:tc>
        <w:tc>
          <w:tcPr>
            <w:tcW w:w="1902" w:type="dxa"/>
          </w:tcPr>
          <w:p w14:paraId="51714DC0" w14:textId="5A870DC2" w:rsidR="00E55CA9" w:rsidRPr="00F15821" w:rsidRDefault="00E55CA9" w:rsidP="00F15821">
            <w:pPr>
              <w:spacing w:after="120" w:line="264" w:lineRule="auto"/>
              <w:jc w:val="center"/>
              <w:rPr>
                <w:rFonts w:ascii="Arial" w:eastAsia="Times New Roman" w:hAnsi="Arial" w:cs="Arial"/>
                <w:noProof/>
                <w:lang w:val="en-US" w:eastAsia="en-GB"/>
              </w:rPr>
            </w:pPr>
            <w:r w:rsidRPr="00F15821">
              <w:rPr>
                <w:rFonts w:ascii="Arial" w:eastAsia="Times New Roman" w:hAnsi="Arial" w:cs="Arial"/>
                <w:noProof/>
                <w:lang w:val="en-US" w:eastAsia="en-GB"/>
              </w:rPr>
              <w:t>439</w:t>
            </w:r>
          </w:p>
        </w:tc>
        <w:tc>
          <w:tcPr>
            <w:tcW w:w="2204" w:type="dxa"/>
          </w:tcPr>
          <w:p w14:paraId="02C0A555" w14:textId="36F3C57C" w:rsidR="00E55CA9" w:rsidRPr="00F15821" w:rsidRDefault="00E55CA9" w:rsidP="00F15821">
            <w:pPr>
              <w:spacing w:after="120" w:line="264" w:lineRule="auto"/>
              <w:jc w:val="center"/>
              <w:rPr>
                <w:rFonts w:ascii="Arial" w:eastAsia="Times New Roman" w:hAnsi="Arial" w:cs="Arial"/>
                <w:noProof/>
                <w:lang w:val="en-US" w:eastAsia="en-GB"/>
              </w:rPr>
            </w:pPr>
            <w:r>
              <w:rPr>
                <w:rFonts w:ascii="Arial" w:eastAsia="Times New Roman" w:hAnsi="Arial" w:cs="Arial"/>
                <w:noProof/>
                <w:lang w:val="en-US" w:eastAsia="en-GB"/>
              </w:rPr>
              <w:t>+</w:t>
            </w:r>
            <w:r w:rsidRPr="00F15821">
              <w:rPr>
                <w:rFonts w:ascii="Arial" w:eastAsia="Times New Roman" w:hAnsi="Arial" w:cs="Arial"/>
                <w:noProof/>
                <w:lang w:val="en-US" w:eastAsia="en-GB"/>
              </w:rPr>
              <w:t>21%</w:t>
            </w:r>
          </w:p>
        </w:tc>
      </w:tr>
    </w:tbl>
    <w:p w14:paraId="29BDC4DA" w14:textId="77777777" w:rsidR="008F4F21" w:rsidRDefault="00F75AE4" w:rsidP="00985D06">
      <w:pPr>
        <w:spacing w:after="120" w:line="264" w:lineRule="auto"/>
        <w:rPr>
          <w:rFonts w:eastAsia="Times New Roman"/>
          <w:noProof/>
          <w:lang w:val="en-US" w:eastAsia="en-GB"/>
        </w:rPr>
      </w:pPr>
      <w:r>
        <w:rPr>
          <w:rFonts w:eastAsia="Times New Roman"/>
          <w:noProof/>
          <w:lang w:val="en-US" w:eastAsia="en-GB"/>
        </w:rPr>
        <w:t>Source: Poppi and Pansi datase</w:t>
      </w:r>
      <w:r w:rsidR="003852A8">
        <w:rPr>
          <w:rFonts w:eastAsia="Times New Roman"/>
          <w:noProof/>
          <w:lang w:val="en-US" w:eastAsia="en-GB"/>
        </w:rPr>
        <w:t>ts</w:t>
      </w:r>
    </w:p>
    <w:p w14:paraId="2F24447A" w14:textId="1B8072B8" w:rsidR="00985D06" w:rsidRDefault="00191B69" w:rsidP="00985D06">
      <w:pPr>
        <w:spacing w:after="120" w:line="264" w:lineRule="auto"/>
        <w:rPr>
          <w:rFonts w:eastAsia="Times New Roman"/>
          <w:noProof/>
          <w:lang w:val="en-US" w:eastAsia="en-GB"/>
        </w:rPr>
      </w:pPr>
      <w:r w:rsidRPr="00E2149B">
        <w:rPr>
          <w:rFonts w:eastAsia="Times New Roman"/>
          <w:noProof/>
          <w:lang w:val="en-US" w:eastAsia="en-GB"/>
        </w:rPr>
        <w:t>Th</w:t>
      </w:r>
      <w:r w:rsidR="003A2D03" w:rsidRPr="00E2149B">
        <w:rPr>
          <w:rFonts w:eastAsia="Times New Roman"/>
          <w:noProof/>
          <w:lang w:val="en-US" w:eastAsia="en-GB"/>
        </w:rPr>
        <w:t xml:space="preserve">ese projections </w:t>
      </w:r>
      <w:r w:rsidRPr="00E2149B">
        <w:rPr>
          <w:rFonts w:eastAsia="Times New Roman"/>
          <w:noProof/>
          <w:lang w:val="en-US" w:eastAsia="en-GB"/>
        </w:rPr>
        <w:t>mean</w:t>
      </w:r>
      <w:r w:rsidR="003A2D03" w:rsidRPr="00E2149B">
        <w:rPr>
          <w:rFonts w:eastAsia="Times New Roman"/>
          <w:noProof/>
          <w:lang w:val="en-US" w:eastAsia="en-GB"/>
        </w:rPr>
        <w:t xml:space="preserve"> that</w:t>
      </w:r>
      <w:r w:rsidRPr="00E2149B">
        <w:rPr>
          <w:rFonts w:eastAsia="Times New Roman"/>
          <w:noProof/>
          <w:lang w:val="en-US" w:eastAsia="en-GB"/>
        </w:rPr>
        <w:t xml:space="preserve"> Oxfordshire will have more older people with more complex needs, which signal a higher demand for care and support in the next decade.  </w:t>
      </w:r>
    </w:p>
    <w:p w14:paraId="667A3A76" w14:textId="598D7A9F" w:rsidR="003436F1" w:rsidRDefault="003436F1" w:rsidP="4B47496F">
      <w:pPr>
        <w:spacing w:after="120" w:line="264" w:lineRule="auto"/>
        <w:rPr>
          <w:rFonts w:eastAsia="Times New Roman"/>
          <w:noProof/>
          <w:lang w:val="en-US" w:eastAsia="en-GB"/>
        </w:rPr>
      </w:pPr>
      <w:r w:rsidRPr="4B47496F">
        <w:rPr>
          <w:rFonts w:eastAsia="Times New Roman"/>
          <w:noProof/>
          <w:lang w:val="en-US" w:eastAsia="en-GB"/>
        </w:rPr>
        <w:t>Although the number of informal carers has dropped both locally and nationally since the last census, a</w:t>
      </w:r>
      <w:r w:rsidR="0085687C" w:rsidRPr="4B47496F">
        <w:rPr>
          <w:rFonts w:eastAsia="Times New Roman"/>
          <w:noProof/>
          <w:lang w:val="en-US" w:eastAsia="en-GB"/>
        </w:rPr>
        <w:t xml:space="preserve"> good deal of the care and support these people need is provided informally. </w:t>
      </w:r>
      <w:r w:rsidRPr="4B47496F">
        <w:rPr>
          <w:rFonts w:eastAsia="Times New Roman"/>
          <w:noProof/>
          <w:lang w:val="en-US" w:eastAsia="en-GB"/>
        </w:rPr>
        <w:t xml:space="preserve">From the 2021 Census, it was reported that  </w:t>
      </w:r>
      <w:r w:rsidR="0085687C" w:rsidRPr="4B47496F">
        <w:rPr>
          <w:rFonts w:eastAsia="Times New Roman"/>
          <w:noProof/>
          <w:lang w:val="en-US" w:eastAsia="en-GB"/>
        </w:rPr>
        <w:t>7.6% of Oxfordshire residents (52,674 people) provide weekly unpaid care</w:t>
      </w:r>
      <w:r w:rsidRPr="4B47496F">
        <w:rPr>
          <w:rFonts w:eastAsia="Times New Roman"/>
          <w:noProof/>
          <w:lang w:val="en-US" w:eastAsia="en-GB"/>
        </w:rPr>
        <w:t xml:space="preserve">. </w:t>
      </w:r>
    </w:p>
    <w:p w14:paraId="0EA654A6" w14:textId="77777777" w:rsidR="003436F1" w:rsidRDefault="003436F1" w:rsidP="003436F1">
      <w:pPr>
        <w:rPr>
          <w:rFonts w:eastAsia="Times New Roman"/>
          <w:noProof/>
          <w:lang w:val="en-US" w:eastAsia="en-GB"/>
        </w:rPr>
      </w:pPr>
    </w:p>
    <w:p w14:paraId="11202908" w14:textId="1DEA9379" w:rsidR="0085687C" w:rsidRPr="003436F1" w:rsidRDefault="003436F1" w:rsidP="4B47496F">
      <w:pPr>
        <w:rPr>
          <w:rFonts w:eastAsia="Times New Roman"/>
          <w:noProof/>
          <w:lang w:eastAsia="en-GB"/>
        </w:rPr>
      </w:pPr>
      <w:r w:rsidRPr="25158DD1">
        <w:rPr>
          <w:rFonts w:eastAsia="Times New Roman"/>
          <w:noProof/>
          <w:lang w:val="en-US" w:eastAsia="en-GB"/>
        </w:rPr>
        <w:t>Whilst the proportion of the population identfying as an informal carer in Oxfordshire is currently less than the national and the South East average, i</w:t>
      </w:r>
      <w:proofErr w:type="spellStart"/>
      <w:r w:rsidR="0085687C" w:rsidRPr="003436F1">
        <w:rPr>
          <w:rFonts w:eastAsia="Times New Roman"/>
          <w:lang w:eastAsia="en-GB"/>
        </w:rPr>
        <w:t>t</w:t>
      </w:r>
      <w:proofErr w:type="spellEnd"/>
      <w:r w:rsidR="0085687C" w:rsidRPr="003436F1">
        <w:rPr>
          <w:rFonts w:eastAsia="Times New Roman"/>
          <w:lang w:eastAsia="en-GB"/>
        </w:rPr>
        <w:t xml:space="preserve"> is important to recognise the crucial role played by unpaid carers in society. </w:t>
      </w:r>
      <w:bookmarkStart w:id="1" w:name="_Hlk155171403"/>
      <w:r w:rsidR="0085687C" w:rsidRPr="003436F1">
        <w:rPr>
          <w:rFonts w:eastAsia="Times New Roman"/>
          <w:noProof/>
          <w:lang w:val="en-US" w:eastAsia="en-GB"/>
        </w:rPr>
        <w:t xml:space="preserve">The proportion of residents providing a significant amount of unpaid care </w:t>
      </w:r>
      <w:r w:rsidRPr="25158DD1">
        <w:rPr>
          <w:rFonts w:eastAsia="Times New Roman"/>
          <w:noProof/>
          <w:lang w:val="en-US" w:eastAsia="en-GB"/>
        </w:rPr>
        <w:t>stands at approximately</w:t>
      </w:r>
      <w:r w:rsidR="0085687C" w:rsidRPr="003436F1">
        <w:rPr>
          <w:rFonts w:eastAsia="Times New Roman"/>
          <w:noProof/>
          <w:lang w:val="en-US" w:eastAsia="en-GB"/>
        </w:rPr>
        <w:t xml:space="preserve"> 13,636 people provid</w:t>
      </w:r>
      <w:r w:rsidRPr="25158DD1">
        <w:rPr>
          <w:rFonts w:eastAsia="Times New Roman"/>
          <w:noProof/>
          <w:lang w:val="en-US" w:eastAsia="en-GB"/>
        </w:rPr>
        <w:t xml:space="preserve">ing </w:t>
      </w:r>
      <w:r w:rsidR="0085687C" w:rsidRPr="003436F1">
        <w:rPr>
          <w:rFonts w:eastAsia="Times New Roman"/>
          <w:noProof/>
          <w:lang w:val="en-US" w:eastAsia="en-GB"/>
        </w:rPr>
        <w:t>more than 50 hours of care for their loved ones each week</w:t>
      </w:r>
      <w:bookmarkEnd w:id="1"/>
      <w:r w:rsidR="0085687C" w:rsidRPr="003436F1">
        <w:rPr>
          <w:rFonts w:eastAsia="Times New Roman"/>
          <w:noProof/>
          <w:lang w:val="en-US" w:eastAsia="en-GB"/>
        </w:rPr>
        <w:t xml:space="preserve">. </w:t>
      </w:r>
      <w:hyperlink r:id="rId17" w:history="1">
        <w:r w:rsidRPr="25158DD1">
          <w:rPr>
            <w:rStyle w:val="Hyperlink"/>
            <w:rFonts w:eastAsia="Times New Roman"/>
          </w:rPr>
          <w:t>A national audit office report</w:t>
        </w:r>
      </w:hyperlink>
      <w:r w:rsidRPr="25158DD1">
        <w:rPr>
          <w:rFonts w:eastAsia="Times New Roman"/>
          <w:color w:val="000000" w:themeColor="text1"/>
        </w:rPr>
        <w:t xml:space="preserve"> estimated that more care is provided by informal carers than funded by the state and the value of care the state in England would have to replace if not provided by informal care as £58.6bn – dwarfing the </w:t>
      </w:r>
      <w:r w:rsidRPr="25158DD1">
        <w:rPr>
          <w:rFonts w:eastAsia="Times New Roman"/>
          <w:color w:val="000000" w:themeColor="text1"/>
        </w:rPr>
        <w:lastRenderedPageBreak/>
        <w:t xml:space="preserve">£20bn of state funded care. </w:t>
      </w:r>
      <w:r w:rsidR="0085687C" w:rsidRPr="003436F1">
        <w:rPr>
          <w:rFonts w:eastAsia="Times New Roman"/>
          <w:lang w:eastAsia="en-GB"/>
        </w:rPr>
        <w:t xml:space="preserve">The council has led a refresh of the Oxfordshire All Age Carers Strategy to outline our vision and priorities for supporting unpaid carers effectively, </w:t>
      </w:r>
      <w:r w:rsidR="023EDB7A" w:rsidRPr="4B47496F">
        <w:rPr>
          <w:rFonts w:eastAsia="Times New Roman"/>
          <w:lang w:eastAsia="en-GB"/>
        </w:rPr>
        <w:t>the strategy can be accessed</w:t>
      </w:r>
      <w:r w:rsidR="0E860CF1" w:rsidRPr="003436F1">
        <w:rPr>
          <w:rFonts w:eastAsia="Times New Roman"/>
          <w:lang w:eastAsia="en-GB"/>
        </w:rPr>
        <w:t xml:space="preserve"> here </w:t>
      </w:r>
      <w:hyperlink r:id="rId18" w:history="1">
        <w:proofErr w:type="spellStart"/>
        <w:r w:rsidR="0E860CF1" w:rsidRPr="4B47496F">
          <w:rPr>
            <w:rStyle w:val="Hyperlink"/>
            <w:rFonts w:eastAsia="Times New Roman"/>
            <w:lang w:eastAsia="en-GB"/>
          </w:rPr>
          <w:t>OCCUnpaidCarersStrategy</w:t>
        </w:r>
        <w:proofErr w:type="spellEnd"/>
      </w:hyperlink>
    </w:p>
    <w:p w14:paraId="4BF2271C" w14:textId="791CE488" w:rsidR="0085687C" w:rsidRPr="00000C60" w:rsidRDefault="0085687C" w:rsidP="00690A36">
      <w:pPr>
        <w:pStyle w:val="Heading1"/>
        <w:rPr>
          <w:noProof/>
          <w:lang w:val="en-US" w:eastAsia="en-GB"/>
        </w:rPr>
      </w:pPr>
      <w:r w:rsidRPr="00690A36">
        <w:rPr>
          <w:rFonts w:ascii="Arial" w:hAnsi="Arial" w:cs="Arial"/>
          <w:noProof/>
          <w:lang w:val="en-US" w:eastAsia="en-GB"/>
        </w:rPr>
        <w:t>Overview of the social care workforce</w:t>
      </w:r>
      <w:r w:rsidR="00D31A5F">
        <w:rPr>
          <w:rFonts w:ascii="Arial" w:hAnsi="Arial" w:cs="Arial"/>
          <w:noProof/>
          <w:lang w:val="en-US" w:eastAsia="en-GB"/>
        </w:rPr>
        <w:t xml:space="preserve"> in Oxfordshire</w:t>
      </w:r>
    </w:p>
    <w:p w14:paraId="5E4CD0E9" w14:textId="0F61CEE6" w:rsidR="0085687C" w:rsidRPr="00E2149B" w:rsidRDefault="0085687C" w:rsidP="00DB27B5">
      <w:pPr>
        <w:textAlignment w:val="baseline"/>
        <w:rPr>
          <w:rFonts w:eastAsia="Times New Roman"/>
          <w:noProof/>
          <w:lang w:val="en-US" w:eastAsia="en-GB"/>
        </w:rPr>
      </w:pPr>
    </w:p>
    <w:p w14:paraId="3008361F" w14:textId="456EEA98" w:rsidR="00BD517F" w:rsidRDefault="0085687C" w:rsidP="0085687C">
      <w:pPr>
        <w:spacing w:after="120" w:line="276" w:lineRule="auto"/>
        <w:rPr>
          <w:rFonts w:eastAsia="Times New Roman"/>
          <w:lang w:eastAsia="en-GB"/>
        </w:rPr>
      </w:pPr>
      <w:r w:rsidRPr="00E2149B">
        <w:rPr>
          <w:rFonts w:eastAsia="Times New Roman"/>
          <w:lang w:eastAsia="en-GB"/>
        </w:rPr>
        <w:t>The paid social care workforce is made up of a diverse range of job types. Roles include social workers, occupational therapists, registered managers of social care settings, commissioners, customer service centre specialists, care and support workers, project managers, cleaners, co-ordinators, and administrators.</w:t>
      </w:r>
      <w:r w:rsidR="00BD517F">
        <w:rPr>
          <w:rFonts w:eastAsia="Times New Roman"/>
          <w:lang w:eastAsia="en-GB"/>
        </w:rPr>
        <w:t xml:space="preserve"> Less obvious roles include accountants, human resources specialists, building/grounds maintenance and catering staff.</w:t>
      </w:r>
      <w:r w:rsidRPr="00E2149B">
        <w:rPr>
          <w:rFonts w:eastAsia="Times New Roman"/>
          <w:lang w:eastAsia="en-GB"/>
        </w:rPr>
        <w:t xml:space="preserve"> </w:t>
      </w:r>
    </w:p>
    <w:p w14:paraId="0885B900" w14:textId="1EB0A086" w:rsidR="0085687C" w:rsidRPr="00E2149B" w:rsidRDefault="0085687C" w:rsidP="0085687C">
      <w:pPr>
        <w:spacing w:after="120" w:line="276" w:lineRule="auto"/>
        <w:rPr>
          <w:rFonts w:eastAsia="Times New Roman"/>
          <w:lang w:eastAsia="en-GB"/>
        </w:rPr>
      </w:pPr>
      <w:r w:rsidRPr="00E2149B">
        <w:rPr>
          <w:rFonts w:eastAsia="Times New Roman"/>
          <w:lang w:eastAsia="en-GB"/>
        </w:rPr>
        <w:t>The scope of this strategy includes our entire adult social care workforce, regardless of their employer.</w:t>
      </w:r>
    </w:p>
    <w:p w14:paraId="009D890D" w14:textId="5613D61D" w:rsidR="00CA75F2" w:rsidRDefault="002461C9" w:rsidP="00CA75F2">
      <w:pPr>
        <w:spacing w:after="120" w:line="276" w:lineRule="auto"/>
        <w:rPr>
          <w:rFonts w:eastAsia="Times New Roman"/>
          <w:noProof/>
          <w:lang w:val="en-US" w:eastAsia="en-GB"/>
        </w:rPr>
      </w:pPr>
      <w:r w:rsidRPr="00E2149B">
        <w:rPr>
          <w:rFonts w:eastAsia="Times New Roman"/>
          <w:noProof/>
          <w:lang w:val="en-US" w:eastAsia="en-GB"/>
        </w:rPr>
        <w:t>In 2022</w:t>
      </w:r>
      <w:r w:rsidR="0065266E">
        <w:rPr>
          <w:rFonts w:eastAsia="Times New Roman"/>
          <w:noProof/>
          <w:lang w:val="en-US" w:eastAsia="en-GB"/>
        </w:rPr>
        <w:t>/23</w:t>
      </w:r>
      <w:r w:rsidRPr="00E2149B">
        <w:rPr>
          <w:rFonts w:eastAsia="Times New Roman"/>
          <w:noProof/>
          <w:lang w:val="en-US" w:eastAsia="en-GB"/>
        </w:rPr>
        <w:t>,</w:t>
      </w:r>
      <w:r w:rsidR="0085687C" w:rsidRPr="00E2149B">
        <w:rPr>
          <w:rFonts w:eastAsia="Times New Roman"/>
          <w:noProof/>
          <w:lang w:val="en-US" w:eastAsia="en-GB"/>
        </w:rPr>
        <w:t xml:space="preserve"> the </w:t>
      </w:r>
      <w:hyperlink r:id="rId19" w:history="1">
        <w:r w:rsidR="0085687C" w:rsidRPr="00E2149B">
          <w:rPr>
            <w:rStyle w:val="Hyperlink"/>
            <w:rFonts w:eastAsia="Times New Roman"/>
            <w:noProof/>
            <w:lang w:val="en-US" w:eastAsia="en-GB"/>
          </w:rPr>
          <w:t>Adult Social Care Workforce Dataset</w:t>
        </w:r>
      </w:hyperlink>
      <w:r w:rsidRPr="00E2149B">
        <w:rPr>
          <w:rFonts w:eastAsia="Times New Roman"/>
          <w:noProof/>
          <w:lang w:val="en-US" w:eastAsia="en-GB"/>
        </w:rPr>
        <w:t xml:space="preserve"> </w:t>
      </w:r>
      <w:r w:rsidR="0085687C" w:rsidRPr="00E2149B">
        <w:rPr>
          <w:rFonts w:eastAsia="Times New Roman"/>
          <w:noProof/>
          <w:lang w:val="en-US" w:eastAsia="en-GB"/>
        </w:rPr>
        <w:t>(Skills for Care) indicated that there were</w:t>
      </w:r>
      <w:r w:rsidRPr="00E2149B">
        <w:rPr>
          <w:rFonts w:eastAsia="Times New Roman"/>
          <w:noProof/>
          <w:lang w:val="en-US" w:eastAsia="en-GB"/>
        </w:rPr>
        <w:t xml:space="preserve"> </w:t>
      </w:r>
      <w:r w:rsidR="00E72025" w:rsidRPr="00E2149B">
        <w:rPr>
          <w:rFonts w:eastAsia="Times New Roman"/>
          <w:noProof/>
          <w:lang w:val="en-US" w:eastAsia="en-GB"/>
        </w:rPr>
        <w:t>18,</w:t>
      </w:r>
      <w:r w:rsidR="0065266E">
        <w:rPr>
          <w:rFonts w:eastAsia="Times New Roman"/>
          <w:noProof/>
          <w:lang w:val="en-US" w:eastAsia="en-GB"/>
        </w:rPr>
        <w:t>5</w:t>
      </w:r>
      <w:r w:rsidR="00E72025" w:rsidRPr="00E2149B">
        <w:rPr>
          <w:rFonts w:eastAsia="Times New Roman"/>
          <w:noProof/>
          <w:lang w:val="en-US" w:eastAsia="en-GB"/>
        </w:rPr>
        <w:t>00 filled posts in Oxfordshire (</w:t>
      </w:r>
      <w:r w:rsidR="00BD517F">
        <w:rPr>
          <w:rFonts w:eastAsia="Times New Roman"/>
          <w:noProof/>
          <w:lang w:val="en-US" w:eastAsia="en-GB"/>
        </w:rPr>
        <w:t>4.</w:t>
      </w:r>
      <w:r w:rsidR="0065266E">
        <w:rPr>
          <w:rFonts w:eastAsia="Times New Roman"/>
          <w:noProof/>
          <w:lang w:val="en-US" w:eastAsia="en-GB"/>
        </w:rPr>
        <w:t>8</w:t>
      </w:r>
      <w:r w:rsidR="00BD517F">
        <w:rPr>
          <w:rFonts w:eastAsia="Times New Roman"/>
          <w:noProof/>
          <w:lang w:val="en-US" w:eastAsia="en-GB"/>
        </w:rPr>
        <w:t xml:space="preserve">% or </w:t>
      </w:r>
      <w:r w:rsidR="0065266E">
        <w:rPr>
          <w:rFonts w:eastAsia="Times New Roman"/>
          <w:noProof/>
          <w:lang w:val="en-US" w:eastAsia="en-GB"/>
        </w:rPr>
        <w:t>9</w:t>
      </w:r>
      <w:r w:rsidRPr="00E2149B">
        <w:rPr>
          <w:rFonts w:eastAsia="Times New Roman"/>
          <w:noProof/>
          <w:lang w:val="en-US" w:eastAsia="en-GB"/>
        </w:rPr>
        <w:t>00</w:t>
      </w:r>
      <w:r w:rsidR="008033E7" w:rsidRPr="00E2149B">
        <w:rPr>
          <w:rFonts w:eastAsia="Times New Roman"/>
          <w:noProof/>
          <w:lang w:val="en-US" w:eastAsia="en-GB"/>
        </w:rPr>
        <w:t xml:space="preserve"> in local authority</w:t>
      </w:r>
      <w:r w:rsidRPr="00E2149B">
        <w:rPr>
          <w:rFonts w:eastAsia="Times New Roman"/>
          <w:noProof/>
          <w:lang w:val="en-US" w:eastAsia="en-GB"/>
        </w:rPr>
        <w:t xml:space="preserve">, </w:t>
      </w:r>
      <w:r w:rsidR="0065266E">
        <w:rPr>
          <w:rFonts w:eastAsia="Times New Roman"/>
          <w:noProof/>
          <w:lang w:val="en-US" w:eastAsia="en-GB"/>
        </w:rPr>
        <w:t>78</w:t>
      </w:r>
      <w:r w:rsidR="00BD517F">
        <w:rPr>
          <w:rFonts w:eastAsia="Times New Roman"/>
          <w:noProof/>
          <w:lang w:val="en-US" w:eastAsia="en-GB"/>
        </w:rPr>
        <w:t xml:space="preserve">% or </w:t>
      </w:r>
      <w:r w:rsidRPr="00E2149B">
        <w:rPr>
          <w:rFonts w:eastAsia="Times New Roman"/>
          <w:noProof/>
          <w:lang w:val="en-US" w:eastAsia="en-GB"/>
        </w:rPr>
        <w:t xml:space="preserve">14,500 in independent </w:t>
      </w:r>
      <w:r w:rsidR="008033E7" w:rsidRPr="00E2149B">
        <w:rPr>
          <w:rFonts w:eastAsia="Times New Roman"/>
          <w:noProof/>
          <w:lang w:val="en-US" w:eastAsia="en-GB"/>
        </w:rPr>
        <w:t xml:space="preserve">sector, </w:t>
      </w:r>
      <w:r w:rsidR="0065266E">
        <w:rPr>
          <w:rFonts w:eastAsia="Times New Roman"/>
          <w:noProof/>
          <w:lang w:val="en-US" w:eastAsia="en-GB"/>
        </w:rPr>
        <w:t>4.3</w:t>
      </w:r>
      <w:r w:rsidR="00BD517F">
        <w:rPr>
          <w:rFonts w:eastAsia="Times New Roman"/>
          <w:noProof/>
          <w:lang w:val="en-US" w:eastAsia="en-GB"/>
        </w:rPr>
        <w:t xml:space="preserve">% or </w:t>
      </w:r>
      <w:r w:rsidR="0065266E">
        <w:rPr>
          <w:rFonts w:eastAsia="Times New Roman"/>
          <w:noProof/>
          <w:lang w:val="en-US" w:eastAsia="en-GB"/>
        </w:rPr>
        <w:t>8</w:t>
      </w:r>
      <w:r w:rsidR="008033E7" w:rsidRPr="00E2149B">
        <w:rPr>
          <w:rFonts w:eastAsia="Times New Roman"/>
          <w:noProof/>
          <w:lang w:val="en-US" w:eastAsia="en-GB"/>
        </w:rPr>
        <w:t xml:space="preserve">00 employed by direct payment recipients and </w:t>
      </w:r>
      <w:r w:rsidR="0065266E">
        <w:rPr>
          <w:rFonts w:eastAsia="Times New Roman"/>
          <w:noProof/>
          <w:lang w:val="en-US" w:eastAsia="en-GB"/>
        </w:rPr>
        <w:t>12</w:t>
      </w:r>
      <w:r w:rsidR="00EA5E14">
        <w:rPr>
          <w:rFonts w:eastAsia="Times New Roman"/>
          <w:noProof/>
          <w:lang w:val="en-US" w:eastAsia="en-GB"/>
        </w:rPr>
        <w:t>.4</w:t>
      </w:r>
      <w:r w:rsidR="00BD517F">
        <w:rPr>
          <w:rFonts w:eastAsia="Times New Roman"/>
          <w:noProof/>
          <w:lang w:val="en-US" w:eastAsia="en-GB"/>
        </w:rPr>
        <w:t xml:space="preserve">% or </w:t>
      </w:r>
      <w:r w:rsidR="0065266E">
        <w:rPr>
          <w:rFonts w:eastAsia="Times New Roman"/>
          <w:noProof/>
          <w:lang w:val="en-US" w:eastAsia="en-GB"/>
        </w:rPr>
        <w:t>2</w:t>
      </w:r>
      <w:r w:rsidR="0085687C" w:rsidRPr="00E2149B">
        <w:rPr>
          <w:rFonts w:eastAsia="Times New Roman"/>
          <w:noProof/>
          <w:lang w:val="en-US" w:eastAsia="en-GB"/>
        </w:rPr>
        <w:t>,</w:t>
      </w:r>
      <w:r w:rsidR="008033E7" w:rsidRPr="00E2149B">
        <w:rPr>
          <w:rFonts w:eastAsia="Times New Roman"/>
          <w:noProof/>
          <w:lang w:val="en-US" w:eastAsia="en-GB"/>
        </w:rPr>
        <w:t>300 in other settings</w:t>
      </w:r>
      <w:r w:rsidR="00E72025" w:rsidRPr="00E2149B">
        <w:rPr>
          <w:rFonts w:eastAsia="Times New Roman"/>
          <w:noProof/>
          <w:lang w:val="en-US" w:eastAsia="en-GB"/>
        </w:rPr>
        <w:t>)</w:t>
      </w:r>
      <w:r w:rsidR="008033E7" w:rsidRPr="00E2149B">
        <w:rPr>
          <w:rFonts w:eastAsia="Times New Roman"/>
          <w:noProof/>
          <w:lang w:val="en-US" w:eastAsia="en-GB"/>
        </w:rPr>
        <w:t xml:space="preserve">. </w:t>
      </w:r>
      <w:r w:rsidR="0049591F" w:rsidRPr="00E2149B">
        <w:rPr>
          <w:rFonts w:eastAsia="Times New Roman"/>
          <w:noProof/>
          <w:lang w:val="en-US" w:eastAsia="en-GB"/>
        </w:rPr>
        <w:t xml:space="preserve"> </w:t>
      </w:r>
      <w:r w:rsidR="0085687C" w:rsidRPr="00E2149B">
        <w:rPr>
          <w:rFonts w:eastAsia="Times New Roman"/>
          <w:noProof/>
          <w:lang w:val="en-US" w:eastAsia="en-GB"/>
        </w:rPr>
        <w:t>About two thirds</w:t>
      </w:r>
      <w:r w:rsidRPr="00E2149B">
        <w:rPr>
          <w:rFonts w:eastAsia="Times New Roman"/>
          <w:noProof/>
          <w:lang w:val="en-US" w:eastAsia="en-GB"/>
        </w:rPr>
        <w:t xml:space="preserve"> of the</w:t>
      </w:r>
      <w:r w:rsidR="0085687C" w:rsidRPr="00E2149B">
        <w:rPr>
          <w:rFonts w:eastAsia="Times New Roman"/>
          <w:noProof/>
          <w:lang w:val="en-US" w:eastAsia="en-GB"/>
        </w:rPr>
        <w:t xml:space="preserve">se roles </w:t>
      </w:r>
      <w:r w:rsidRPr="00E2149B">
        <w:rPr>
          <w:rFonts w:eastAsia="Times New Roman"/>
          <w:noProof/>
          <w:lang w:val="en-US" w:eastAsia="en-GB"/>
        </w:rPr>
        <w:t xml:space="preserve">are workers providing direct care. </w:t>
      </w:r>
    </w:p>
    <w:p w14:paraId="55F10608" w14:textId="77777777" w:rsidR="00EA5E14" w:rsidRDefault="19581058" w:rsidP="00CA75F2">
      <w:pPr>
        <w:spacing w:after="120" w:line="276" w:lineRule="auto"/>
        <w:rPr>
          <w:rFonts w:eastAsia="Times New Roman"/>
          <w:noProof/>
          <w:lang w:val="en-US" w:eastAsia="en-GB"/>
        </w:rPr>
      </w:pPr>
      <w:r>
        <w:rPr>
          <w:noProof/>
        </w:rPr>
        <w:drawing>
          <wp:inline distT="0" distB="0" distL="0" distR="0" wp14:anchorId="7D2B52CA" wp14:editId="1D10F44E">
            <wp:extent cx="4041606" cy="1785351"/>
            <wp:effectExtent l="76200" t="76200" r="111760" b="120015"/>
            <wp:docPr id="18764618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61850" name="Picture 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rcRect/>
                    <a:stretch>
                      <a:fillRect/>
                    </a:stretch>
                  </pic:blipFill>
                  <pic:spPr>
                    <a:xfrm>
                      <a:off x="0" y="0"/>
                      <a:ext cx="4041606" cy="17853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EA5E14" w:rsidRPr="3452FA4E">
        <w:rPr>
          <w:rFonts w:eastAsia="Times New Roman"/>
          <w:noProof/>
          <w:lang w:val="en-US" w:eastAsia="en-GB"/>
        </w:rPr>
        <w:t xml:space="preserve"> </w:t>
      </w:r>
      <w:r w:rsidR="272F88AC">
        <w:rPr>
          <w:noProof/>
        </w:rPr>
        <w:drawing>
          <wp:inline distT="0" distB="0" distL="0" distR="0" wp14:anchorId="40E6F13B" wp14:editId="56725C3D">
            <wp:extent cx="3833844" cy="1791035"/>
            <wp:effectExtent l="76200" t="76200" r="109855" b="114300"/>
            <wp:docPr id="2990530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53095" name="Picture 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rcRect/>
                    <a:stretch>
                      <a:fillRect/>
                    </a:stretch>
                  </pic:blipFill>
                  <pic:spPr>
                    <a:xfrm>
                      <a:off x="0" y="0"/>
                      <a:ext cx="3833844" cy="17910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A458B7" w14:textId="7659597E" w:rsidR="00CA75F2" w:rsidRPr="00E2149B" w:rsidRDefault="00CB0F48" w:rsidP="00CA75F2">
      <w:pPr>
        <w:spacing w:after="120" w:line="276" w:lineRule="auto"/>
        <w:rPr>
          <w:rFonts w:eastAsia="Times New Roman"/>
          <w:noProof/>
          <w:lang w:val="en-US" w:eastAsia="en-GB"/>
        </w:rPr>
      </w:pPr>
      <w:r>
        <w:rPr>
          <w:rFonts w:eastAsia="Times New Roman"/>
          <w:noProof/>
          <w:lang w:val="en-US" w:eastAsia="en-GB"/>
        </w:rPr>
        <w:br w:type="textWrapping" w:clear="all"/>
      </w:r>
      <w:r w:rsidR="009062C6" w:rsidRPr="001531AB">
        <w:rPr>
          <w:rFonts w:eastAsia="Times New Roman"/>
          <w:noProof/>
          <w:lang w:val="en-US" w:eastAsia="en-GB"/>
        </w:rPr>
        <w:t>P</w:t>
      </w:r>
      <w:r w:rsidR="4E3DE37F" w:rsidRPr="001531AB">
        <w:rPr>
          <w:rFonts w:eastAsia="Times New Roman"/>
          <w:noProof/>
          <w:lang w:val="en-US" w:eastAsia="en-GB"/>
        </w:rPr>
        <w:t>ersonal assistants are employed by a</w:t>
      </w:r>
      <w:r w:rsidR="7A7B6E73" w:rsidRPr="001531AB">
        <w:rPr>
          <w:rFonts w:eastAsia="Times New Roman"/>
          <w:noProof/>
          <w:lang w:val="en-US" w:eastAsia="en-GB"/>
        </w:rPr>
        <w:t xml:space="preserve">n estimated </w:t>
      </w:r>
      <w:r w:rsidR="0065266E" w:rsidRPr="001531AB">
        <w:rPr>
          <w:rFonts w:eastAsia="Times New Roman"/>
          <w:noProof/>
          <w:lang w:val="en-US" w:eastAsia="en-GB"/>
        </w:rPr>
        <w:t>8</w:t>
      </w:r>
      <w:r w:rsidR="7A7B6E73" w:rsidRPr="001531AB">
        <w:rPr>
          <w:rFonts w:eastAsia="Times New Roman"/>
          <w:noProof/>
          <w:lang w:val="en-US" w:eastAsia="en-GB"/>
        </w:rPr>
        <w:t>00 direct payment recipients in Oxfordshire</w:t>
      </w:r>
      <w:r w:rsidR="4E3DE37F" w:rsidRPr="001531AB">
        <w:rPr>
          <w:rFonts w:eastAsia="Times New Roman"/>
          <w:noProof/>
          <w:lang w:val="en-US" w:eastAsia="en-GB"/>
        </w:rPr>
        <w:t xml:space="preserve"> (this includes Personal Assistants who provide care to children and provide care on behalf of the NHS).</w:t>
      </w:r>
      <w:r w:rsidR="62B4B171" w:rsidRPr="001531AB">
        <w:rPr>
          <w:rFonts w:eastAsia="Times New Roman"/>
          <w:noProof/>
          <w:lang w:val="en-US" w:eastAsia="en-GB"/>
        </w:rPr>
        <w:t xml:space="preserve"> </w:t>
      </w:r>
      <w:r w:rsidR="4E3DE37F" w:rsidRPr="001531AB">
        <w:rPr>
          <w:rFonts w:eastAsia="Times New Roman"/>
          <w:noProof/>
          <w:lang w:val="en-US" w:eastAsia="en-GB"/>
        </w:rPr>
        <w:t xml:space="preserve">Personal assistants </w:t>
      </w:r>
      <w:r w:rsidR="7A7B6E73" w:rsidRPr="001531AB">
        <w:rPr>
          <w:rFonts w:eastAsia="Times New Roman"/>
          <w:noProof/>
          <w:lang w:val="en-US" w:eastAsia="en-GB"/>
        </w:rPr>
        <w:t>provid</w:t>
      </w:r>
      <w:r w:rsidR="4E3DE37F" w:rsidRPr="001531AB">
        <w:rPr>
          <w:rFonts w:eastAsia="Times New Roman"/>
          <w:noProof/>
          <w:lang w:val="en-US" w:eastAsia="en-GB"/>
        </w:rPr>
        <w:t xml:space="preserve">e a wide range of support </w:t>
      </w:r>
      <w:r w:rsidR="7A7B6E73" w:rsidRPr="001531AB">
        <w:rPr>
          <w:rFonts w:eastAsia="Times New Roman"/>
          <w:noProof/>
          <w:lang w:val="en-US" w:eastAsia="en-GB"/>
        </w:rPr>
        <w:t>from per</w:t>
      </w:r>
      <w:r w:rsidR="608BABAF" w:rsidRPr="001531AB">
        <w:rPr>
          <w:rFonts w:eastAsia="Times New Roman"/>
          <w:noProof/>
          <w:lang w:val="en-US" w:eastAsia="en-GB"/>
        </w:rPr>
        <w:t>s</w:t>
      </w:r>
      <w:r w:rsidR="7A7B6E73" w:rsidRPr="001531AB">
        <w:rPr>
          <w:rFonts w:eastAsia="Times New Roman"/>
          <w:noProof/>
          <w:lang w:val="en-US" w:eastAsia="en-GB"/>
        </w:rPr>
        <w:t>onal care through to help with cooking and social activities</w:t>
      </w:r>
      <w:r w:rsidR="00295625" w:rsidRPr="001531AB">
        <w:rPr>
          <w:rFonts w:eastAsia="Times New Roman"/>
          <w:noProof/>
          <w:lang w:val="en-US" w:eastAsia="en-GB"/>
        </w:rPr>
        <w:t xml:space="preserve"> and are recognised as a key part of the workforce helping to support </w:t>
      </w:r>
      <w:r w:rsidR="00295625" w:rsidRPr="001531AB">
        <w:rPr>
          <w:rFonts w:eastAsia="Times New Roman"/>
          <w:noProof/>
          <w:lang w:val="en-US" w:eastAsia="en-GB"/>
        </w:rPr>
        <w:lastRenderedPageBreak/>
        <w:t>the County Councils Oxfordshire Way stratgeic vision</w:t>
      </w:r>
      <w:r w:rsidR="7A7B6E73" w:rsidRPr="001531AB">
        <w:rPr>
          <w:rFonts w:eastAsia="Times New Roman"/>
          <w:noProof/>
          <w:lang w:val="en-US" w:eastAsia="en-GB"/>
        </w:rPr>
        <w:t>. Data on personal assistants remain</w:t>
      </w:r>
      <w:r w:rsidR="00BD517F" w:rsidRPr="001531AB">
        <w:rPr>
          <w:rFonts w:eastAsia="Times New Roman"/>
          <w:noProof/>
          <w:lang w:val="en-US" w:eastAsia="en-GB"/>
        </w:rPr>
        <w:t>s</w:t>
      </w:r>
      <w:r w:rsidR="7A7B6E73" w:rsidRPr="001531AB">
        <w:rPr>
          <w:rFonts w:eastAsia="Times New Roman"/>
          <w:noProof/>
          <w:lang w:val="en-US" w:eastAsia="en-GB"/>
        </w:rPr>
        <w:t xml:space="preserve"> limited, therefore the analysis </w:t>
      </w:r>
      <w:r w:rsidR="00000C60" w:rsidRPr="001531AB">
        <w:rPr>
          <w:rFonts w:eastAsia="Times New Roman"/>
          <w:noProof/>
          <w:lang w:val="en-US" w:eastAsia="en-GB"/>
        </w:rPr>
        <w:t xml:space="preserve">that follows </w:t>
      </w:r>
      <w:r w:rsidR="7A7B6E73" w:rsidRPr="001531AB">
        <w:rPr>
          <w:rFonts w:eastAsia="Times New Roman"/>
          <w:noProof/>
          <w:lang w:val="en-US" w:eastAsia="en-GB"/>
        </w:rPr>
        <w:t>focuses on internal (</w:t>
      </w:r>
      <w:r w:rsidR="00F13030" w:rsidRPr="001531AB">
        <w:rPr>
          <w:rFonts w:eastAsia="Times New Roman"/>
          <w:noProof/>
          <w:lang w:val="en-US" w:eastAsia="en-GB"/>
        </w:rPr>
        <w:t xml:space="preserve">employed by </w:t>
      </w:r>
      <w:r w:rsidR="00060006" w:rsidRPr="001531AB">
        <w:rPr>
          <w:rFonts w:eastAsia="Times New Roman"/>
          <w:noProof/>
          <w:lang w:val="en-US" w:eastAsia="en-GB"/>
        </w:rPr>
        <w:t>local authority</w:t>
      </w:r>
      <w:r w:rsidR="7A7B6E73" w:rsidRPr="001531AB">
        <w:rPr>
          <w:rFonts w:eastAsia="Times New Roman"/>
          <w:noProof/>
          <w:lang w:val="en-US" w:eastAsia="en-GB"/>
        </w:rPr>
        <w:t>) and external workforce.</w:t>
      </w:r>
      <w:r w:rsidR="7A7B6E73" w:rsidRPr="00E2149B">
        <w:rPr>
          <w:rFonts w:eastAsia="Times New Roman"/>
          <w:noProof/>
          <w:lang w:val="en-US" w:eastAsia="en-GB"/>
        </w:rPr>
        <w:t xml:space="preserve"> </w:t>
      </w:r>
    </w:p>
    <w:p w14:paraId="0530D925" w14:textId="77777777" w:rsidR="00E2761B" w:rsidRDefault="00060006" w:rsidP="00CA75F2">
      <w:pPr>
        <w:spacing w:after="120" w:line="276" w:lineRule="auto"/>
        <w:rPr>
          <w:rFonts w:eastAsia="Times New Roman"/>
          <w:noProof/>
          <w:lang w:val="en-US" w:eastAsia="en-GB"/>
        </w:rPr>
      </w:pPr>
      <w:r>
        <w:rPr>
          <w:rFonts w:eastAsia="Times New Roman"/>
          <w:noProof/>
          <w:lang w:val="en-US" w:eastAsia="en-GB"/>
        </w:rPr>
        <w:t>In Oxfordshire, a significant proportion of frontline care is delivered by the independent sector rather than the local authority. The graphic below excludes roles such as social workers, occupational therapists and commissioners, and indicates</w:t>
      </w:r>
      <w:r w:rsidR="00687CB1">
        <w:rPr>
          <w:rFonts w:eastAsia="Times New Roman"/>
          <w:noProof/>
          <w:lang w:val="en-US" w:eastAsia="en-GB"/>
        </w:rPr>
        <w:t xml:space="preserve"> </w:t>
      </w:r>
      <w:r>
        <w:rPr>
          <w:rFonts w:eastAsia="Times New Roman"/>
          <w:noProof/>
          <w:lang w:val="en-US" w:eastAsia="en-GB"/>
        </w:rPr>
        <w:t>t</w:t>
      </w:r>
      <w:r w:rsidR="00D31A5F">
        <w:rPr>
          <w:rFonts w:eastAsia="Times New Roman"/>
          <w:noProof/>
          <w:lang w:val="en-US" w:eastAsia="en-GB"/>
        </w:rPr>
        <w:t xml:space="preserve">he relative pay rates for </w:t>
      </w:r>
      <w:r w:rsidR="00D31A5F" w:rsidRPr="00825CFD">
        <w:rPr>
          <w:rFonts w:eastAsia="Times New Roman"/>
          <w:i/>
          <w:iCs/>
          <w:noProof/>
          <w:lang w:val="en-US" w:eastAsia="en-GB"/>
        </w:rPr>
        <w:t>care workers</w:t>
      </w:r>
      <w:r w:rsidR="00D31A5F">
        <w:rPr>
          <w:rFonts w:eastAsia="Times New Roman"/>
          <w:noProof/>
          <w:lang w:val="en-US" w:eastAsia="en-GB"/>
        </w:rPr>
        <w:t xml:space="preserve"> in Oxfordshire</w:t>
      </w:r>
      <w:r w:rsidR="00F671A1">
        <w:rPr>
          <w:rFonts w:eastAsia="Times New Roman"/>
          <w:noProof/>
          <w:lang w:val="en-US" w:eastAsia="en-GB"/>
        </w:rPr>
        <w:t>. Independent employers pay a lower hourly rate</w:t>
      </w:r>
      <w:r w:rsidR="00973622">
        <w:rPr>
          <w:rFonts w:eastAsia="Times New Roman"/>
          <w:noProof/>
          <w:lang w:val="en-US" w:eastAsia="en-GB"/>
        </w:rPr>
        <w:t xml:space="preserve"> relative to the local authority </w:t>
      </w:r>
      <w:r w:rsidR="00687CB1">
        <w:rPr>
          <w:rFonts w:eastAsia="Times New Roman"/>
          <w:noProof/>
          <w:lang w:val="en-US" w:eastAsia="en-GB"/>
        </w:rPr>
        <w:t xml:space="preserve">for </w:t>
      </w:r>
      <w:r w:rsidR="00973622">
        <w:rPr>
          <w:rFonts w:eastAsia="Times New Roman"/>
          <w:noProof/>
          <w:lang w:val="en-US" w:eastAsia="en-GB"/>
        </w:rPr>
        <w:t xml:space="preserve">similar </w:t>
      </w:r>
      <w:r>
        <w:rPr>
          <w:rFonts w:eastAsia="Times New Roman"/>
          <w:noProof/>
          <w:lang w:val="en-US" w:eastAsia="en-GB"/>
        </w:rPr>
        <w:t xml:space="preserve">care giving </w:t>
      </w:r>
      <w:r w:rsidR="00973622">
        <w:rPr>
          <w:rFonts w:eastAsia="Times New Roman"/>
          <w:noProof/>
          <w:lang w:val="en-US" w:eastAsia="en-GB"/>
        </w:rPr>
        <w:t>roles</w:t>
      </w:r>
      <w:r w:rsidR="00687CB1">
        <w:rPr>
          <w:rFonts w:eastAsia="Times New Roman"/>
          <w:noProof/>
          <w:lang w:val="en-US" w:eastAsia="en-GB"/>
        </w:rPr>
        <w:t>, and this is also the case when compared to pay rates in</w:t>
      </w:r>
      <w:r w:rsidR="00687CB1" w:rsidRPr="00687CB1">
        <w:rPr>
          <w:rFonts w:eastAsia="Times New Roman"/>
          <w:noProof/>
          <w:lang w:val="en-US" w:eastAsia="en-GB"/>
        </w:rPr>
        <w:t xml:space="preserve"> </w:t>
      </w:r>
      <w:r w:rsidR="00687CB1">
        <w:rPr>
          <w:rFonts w:eastAsia="Times New Roman"/>
          <w:noProof/>
          <w:lang w:val="en-US" w:eastAsia="en-GB"/>
        </w:rPr>
        <w:t>the National Health Service</w:t>
      </w:r>
      <w:r w:rsidR="00F671A1">
        <w:rPr>
          <w:rFonts w:eastAsia="Times New Roman"/>
          <w:noProof/>
          <w:lang w:val="en-US" w:eastAsia="en-GB"/>
        </w:rPr>
        <w:t>.</w:t>
      </w:r>
    </w:p>
    <w:p w14:paraId="7A8EFC98" w14:textId="05AE2793" w:rsidR="00E2761B" w:rsidRDefault="00E2761B" w:rsidP="00CA75F2">
      <w:pPr>
        <w:spacing w:after="120" w:line="276" w:lineRule="auto"/>
        <w:rPr>
          <w:rFonts w:eastAsia="Times New Roman"/>
          <w:noProof/>
          <w:lang w:val="en-US" w:eastAsia="en-GB"/>
        </w:rPr>
      </w:pPr>
      <w:r w:rsidRPr="00E2761B">
        <w:rPr>
          <w:rFonts w:eastAsia="Times New Roman"/>
          <w:noProof/>
          <w:lang w:val="en-US" w:eastAsia="en-GB"/>
        </w:rPr>
        <w:drawing>
          <wp:inline distT="0" distB="0" distL="0" distR="0" wp14:anchorId="3C63F741" wp14:editId="2E79136D">
            <wp:extent cx="6927865" cy="1927274"/>
            <wp:effectExtent l="0" t="0" r="0" b="0"/>
            <wp:docPr id="5814897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89706" name="Picture 1">
                      <a:extLst>
                        <a:ext uri="{C183D7F6-B498-43B3-948B-1728B52AA6E4}">
                          <adec:decorative xmlns:adec="http://schemas.microsoft.com/office/drawing/2017/decorative" val="1"/>
                        </a:ext>
                      </a:extLst>
                    </pic:cNvPr>
                    <pic:cNvPicPr/>
                  </pic:nvPicPr>
                  <pic:blipFill>
                    <a:blip r:embed="rId22"/>
                    <a:stretch>
                      <a:fillRect/>
                    </a:stretch>
                  </pic:blipFill>
                  <pic:spPr>
                    <a:xfrm>
                      <a:off x="0" y="0"/>
                      <a:ext cx="6991305" cy="1944922"/>
                    </a:xfrm>
                    <a:prstGeom prst="rect">
                      <a:avLst/>
                    </a:prstGeom>
                  </pic:spPr>
                </pic:pic>
              </a:graphicData>
            </a:graphic>
          </wp:inline>
        </w:drawing>
      </w:r>
    </w:p>
    <w:p w14:paraId="014D4082" w14:textId="77777777" w:rsidR="00E2761B" w:rsidRDefault="00E2761B" w:rsidP="00CA75F2">
      <w:pPr>
        <w:spacing w:after="120" w:line="276" w:lineRule="auto"/>
        <w:rPr>
          <w:rFonts w:eastAsia="Times New Roman"/>
          <w:noProof/>
          <w:lang w:val="en-US" w:eastAsia="en-GB"/>
        </w:rPr>
      </w:pPr>
    </w:p>
    <w:p w14:paraId="22E68640" w14:textId="2A4DBDD4" w:rsidR="00E2761B" w:rsidRDefault="00E2761B" w:rsidP="00CA75F2">
      <w:pPr>
        <w:spacing w:after="120" w:line="276" w:lineRule="auto"/>
        <w:rPr>
          <w:rFonts w:eastAsia="Times New Roman"/>
          <w:noProof/>
          <w:lang w:val="en-US" w:eastAsia="en-GB"/>
        </w:rPr>
      </w:pPr>
      <w:r w:rsidRPr="00E2761B">
        <w:rPr>
          <w:rFonts w:eastAsia="Times New Roman"/>
          <w:noProof/>
          <w:lang w:val="en-US" w:eastAsia="en-GB"/>
        </w:rPr>
        <w:drawing>
          <wp:inline distT="0" distB="0" distL="0" distR="0" wp14:anchorId="037826E4" wp14:editId="7C497217">
            <wp:extent cx="7062640" cy="1920240"/>
            <wp:effectExtent l="0" t="0" r="0" b="0"/>
            <wp:docPr id="1623067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6745" name="Picture 1">
                      <a:extLst>
                        <a:ext uri="{C183D7F6-B498-43B3-948B-1728B52AA6E4}">
                          <adec:decorative xmlns:adec="http://schemas.microsoft.com/office/drawing/2017/decorative" val="1"/>
                        </a:ext>
                      </a:extLst>
                    </pic:cNvPr>
                    <pic:cNvPicPr/>
                  </pic:nvPicPr>
                  <pic:blipFill>
                    <a:blip r:embed="rId23"/>
                    <a:stretch>
                      <a:fillRect/>
                    </a:stretch>
                  </pic:blipFill>
                  <pic:spPr>
                    <a:xfrm>
                      <a:off x="0" y="0"/>
                      <a:ext cx="7113664" cy="1934113"/>
                    </a:xfrm>
                    <a:prstGeom prst="rect">
                      <a:avLst/>
                    </a:prstGeom>
                  </pic:spPr>
                </pic:pic>
              </a:graphicData>
            </a:graphic>
          </wp:inline>
        </w:drawing>
      </w:r>
    </w:p>
    <w:p w14:paraId="16758B08" w14:textId="77777777" w:rsidR="00DE2DE6" w:rsidRDefault="00DE2DE6" w:rsidP="00CA75F2">
      <w:pPr>
        <w:spacing w:after="120" w:line="276" w:lineRule="auto"/>
        <w:rPr>
          <w:rFonts w:eastAsia="Times New Roman"/>
          <w:noProof/>
          <w:lang w:val="en-US" w:eastAsia="en-GB"/>
        </w:rPr>
      </w:pPr>
    </w:p>
    <w:p w14:paraId="267A9D5B" w14:textId="750DEE34" w:rsidR="00DE2DE6" w:rsidRDefault="00DE2DE6" w:rsidP="00CA75F2">
      <w:pPr>
        <w:spacing w:after="120" w:line="276" w:lineRule="auto"/>
        <w:rPr>
          <w:rFonts w:eastAsia="Times New Roman"/>
          <w:noProof/>
          <w:lang w:val="en-US" w:eastAsia="en-GB"/>
        </w:rPr>
      </w:pPr>
    </w:p>
    <w:p w14:paraId="4DEA38D1" w14:textId="65AD2C39" w:rsidR="00973622" w:rsidRDefault="00973622" w:rsidP="00CA75F2">
      <w:pPr>
        <w:spacing w:after="120" w:line="276" w:lineRule="auto"/>
        <w:rPr>
          <w:shd w:val="clear" w:color="auto" w:fill="FFFFFF"/>
        </w:rPr>
      </w:pPr>
      <w:r>
        <w:rPr>
          <w:rFonts w:eastAsia="Times New Roman"/>
          <w:noProof/>
          <w:lang w:val="en-US" w:eastAsia="en-GB"/>
        </w:rPr>
        <w:t>Although the chart compares these pay rates to the National Living Wage</w:t>
      </w:r>
      <w:r w:rsidR="00E2761B">
        <w:rPr>
          <w:rFonts w:eastAsia="Times New Roman"/>
          <w:noProof/>
          <w:lang w:val="en-US" w:eastAsia="en-GB"/>
        </w:rPr>
        <w:t xml:space="preserve"> (£9.50 ph at the time the data was collected)</w:t>
      </w:r>
      <w:r>
        <w:rPr>
          <w:rFonts w:eastAsia="Times New Roman"/>
          <w:noProof/>
          <w:lang w:val="en-US" w:eastAsia="en-GB"/>
        </w:rPr>
        <w:t xml:space="preserve">, more locally the Oxford City Living Wage is a </w:t>
      </w:r>
      <w:r w:rsidRPr="00973622">
        <w:rPr>
          <w:rFonts w:eastAsia="Times New Roman"/>
          <w:noProof/>
          <w:lang w:val="en-US" w:eastAsia="en-GB"/>
        </w:rPr>
        <w:t xml:space="preserve">recommended </w:t>
      </w:r>
      <w:r w:rsidRPr="00BA6EAB">
        <w:rPr>
          <w:shd w:val="clear" w:color="auto" w:fill="FFFFFF"/>
        </w:rPr>
        <w:t>hourly minimum pay rate that promotes liveable earnings for all workers and recognises the high cost of living in Oxford</w:t>
      </w:r>
      <w:r>
        <w:rPr>
          <w:shd w:val="clear" w:color="auto" w:fill="FFFFFF"/>
        </w:rPr>
        <w:t xml:space="preserve"> city</w:t>
      </w:r>
      <w:r w:rsidRPr="00BA6EAB">
        <w:rPr>
          <w:shd w:val="clear" w:color="auto" w:fill="FFFFFF"/>
        </w:rPr>
        <w:t>. In April 22 the</w:t>
      </w:r>
      <w:r>
        <w:rPr>
          <w:shd w:val="clear" w:color="auto" w:fill="FFFFFF"/>
        </w:rPr>
        <w:t xml:space="preserve"> recommended</w:t>
      </w:r>
      <w:r w:rsidRPr="00BA6EAB">
        <w:rPr>
          <w:shd w:val="clear" w:color="auto" w:fill="FFFFFF"/>
        </w:rPr>
        <w:t xml:space="preserve"> rate was £10.50 per hour, increasing to £11.35 per hour from April 2023.</w:t>
      </w:r>
    </w:p>
    <w:p w14:paraId="241D461C" w14:textId="3F184E7D" w:rsidR="00973622" w:rsidRPr="00453B3B" w:rsidRDefault="00973622" w:rsidP="00CA75F2">
      <w:pPr>
        <w:spacing w:after="120" w:line="276" w:lineRule="auto"/>
        <w:rPr>
          <w:rFonts w:eastAsia="Times New Roman"/>
          <w:noProof/>
          <w:lang w:val="en-US" w:eastAsia="en-GB"/>
        </w:rPr>
      </w:pPr>
      <w:r>
        <w:rPr>
          <w:shd w:val="clear" w:color="auto" w:fill="FFFFFF"/>
        </w:rPr>
        <w:t xml:space="preserve">The age </w:t>
      </w:r>
      <w:r w:rsidR="00FB5279">
        <w:rPr>
          <w:shd w:val="clear" w:color="auto" w:fill="FFFFFF"/>
        </w:rPr>
        <w:t xml:space="preserve">and gender </w:t>
      </w:r>
      <w:r>
        <w:rPr>
          <w:shd w:val="clear" w:color="auto" w:fill="FFFFFF"/>
        </w:rPr>
        <w:t xml:space="preserve">profile of the </w:t>
      </w:r>
      <w:r w:rsidR="00687CB1">
        <w:rPr>
          <w:shd w:val="clear" w:color="auto" w:fill="FFFFFF"/>
        </w:rPr>
        <w:t xml:space="preserve">social care </w:t>
      </w:r>
      <w:r>
        <w:rPr>
          <w:shd w:val="clear" w:color="auto" w:fill="FFFFFF"/>
        </w:rPr>
        <w:t>workforce</w:t>
      </w:r>
      <w:r w:rsidR="00FB5279">
        <w:rPr>
          <w:shd w:val="clear" w:color="auto" w:fill="FFFFFF"/>
        </w:rPr>
        <w:t xml:space="preserve"> in Oxfordshire is similar to </w:t>
      </w:r>
      <w:proofErr w:type="gramStart"/>
      <w:r w:rsidR="00FB5279">
        <w:rPr>
          <w:shd w:val="clear" w:color="auto" w:fill="FFFFFF"/>
        </w:rPr>
        <w:t>South East</w:t>
      </w:r>
      <w:proofErr w:type="gramEnd"/>
      <w:r w:rsidR="00FB5279">
        <w:rPr>
          <w:shd w:val="clear" w:color="auto" w:fill="FFFFFF"/>
        </w:rPr>
        <w:t xml:space="preserve"> and England; 80% </w:t>
      </w:r>
      <w:r w:rsidR="00E265FF">
        <w:rPr>
          <w:shd w:val="clear" w:color="auto" w:fill="FFFFFF"/>
        </w:rPr>
        <w:t xml:space="preserve">of workers are </w:t>
      </w:r>
      <w:r w:rsidR="00FB5279">
        <w:rPr>
          <w:shd w:val="clear" w:color="auto" w:fill="FFFFFF"/>
        </w:rPr>
        <w:t xml:space="preserve">female </w:t>
      </w:r>
      <w:r w:rsidR="00FB5279" w:rsidRPr="00453B3B">
        <w:rPr>
          <w:shd w:val="clear" w:color="auto" w:fill="FFFFFF"/>
        </w:rPr>
        <w:t>and</w:t>
      </w:r>
      <w:r w:rsidR="00E265FF">
        <w:rPr>
          <w:shd w:val="clear" w:color="auto" w:fill="FFFFFF"/>
        </w:rPr>
        <w:t xml:space="preserve"> the</w:t>
      </w:r>
      <w:r w:rsidR="00FB5279" w:rsidRPr="00453B3B">
        <w:rPr>
          <w:shd w:val="clear" w:color="auto" w:fill="FFFFFF"/>
        </w:rPr>
        <w:t xml:space="preserve"> average</w:t>
      </w:r>
      <w:r w:rsidR="00F15821" w:rsidRPr="00453B3B">
        <w:rPr>
          <w:shd w:val="clear" w:color="auto" w:fill="FFFFFF"/>
        </w:rPr>
        <w:t xml:space="preserve"> age</w:t>
      </w:r>
      <w:r w:rsidR="00FB5279" w:rsidRPr="00453B3B">
        <w:rPr>
          <w:shd w:val="clear" w:color="auto" w:fill="FFFFFF"/>
        </w:rPr>
        <w:t xml:space="preserve"> is 4</w:t>
      </w:r>
      <w:r w:rsidR="00FB1932">
        <w:rPr>
          <w:shd w:val="clear" w:color="auto" w:fill="FFFFFF"/>
        </w:rPr>
        <w:t>4/45</w:t>
      </w:r>
      <w:r w:rsidR="00FB5279" w:rsidRPr="00453B3B">
        <w:rPr>
          <w:shd w:val="clear" w:color="auto" w:fill="FFFFFF"/>
        </w:rPr>
        <w:t xml:space="preserve">. </w:t>
      </w:r>
      <w:r w:rsidR="00BC544A" w:rsidRPr="00453B3B">
        <w:rPr>
          <w:shd w:val="clear" w:color="auto" w:fill="FFFFFF"/>
        </w:rPr>
        <w:t>Our</w:t>
      </w:r>
      <w:r w:rsidR="00FB5279" w:rsidRPr="00453B3B">
        <w:rPr>
          <w:shd w:val="clear" w:color="auto" w:fill="FFFFFF"/>
        </w:rPr>
        <w:t xml:space="preserve"> Oxfordshire workforce is more diverse with </w:t>
      </w:r>
      <w:r w:rsidR="00E265FF">
        <w:rPr>
          <w:shd w:val="clear" w:color="auto" w:fill="FFFFFF"/>
        </w:rPr>
        <w:t xml:space="preserve">a </w:t>
      </w:r>
      <w:r w:rsidR="00FB5279" w:rsidRPr="00453B3B">
        <w:rPr>
          <w:shd w:val="clear" w:color="auto" w:fill="FFFFFF"/>
        </w:rPr>
        <w:t>higher percentage of non-British and</w:t>
      </w:r>
      <w:r w:rsidR="005976C9" w:rsidRPr="00453B3B">
        <w:rPr>
          <w:shd w:val="clear" w:color="auto" w:fill="FFFFFF"/>
        </w:rPr>
        <w:t xml:space="preserve"> people from ethnic minority backgrounds</w:t>
      </w:r>
      <w:r w:rsidR="00FB5279" w:rsidRPr="00453B3B">
        <w:rPr>
          <w:shd w:val="clear" w:color="auto" w:fill="FFFFFF"/>
        </w:rPr>
        <w:t xml:space="preserve"> than </w:t>
      </w:r>
      <w:r w:rsidR="00E265FF">
        <w:rPr>
          <w:shd w:val="clear" w:color="auto" w:fill="FFFFFF"/>
        </w:rPr>
        <w:t xml:space="preserve">the </w:t>
      </w:r>
      <w:proofErr w:type="gramStart"/>
      <w:r w:rsidR="00FB5279" w:rsidRPr="00453B3B">
        <w:rPr>
          <w:shd w:val="clear" w:color="auto" w:fill="FFFFFF"/>
        </w:rPr>
        <w:t>South East</w:t>
      </w:r>
      <w:proofErr w:type="gramEnd"/>
      <w:r w:rsidR="00FB5279" w:rsidRPr="00453B3B">
        <w:rPr>
          <w:shd w:val="clear" w:color="auto" w:fill="FFFFFF"/>
        </w:rPr>
        <w:t xml:space="preserve"> and England</w:t>
      </w:r>
      <w:r w:rsidR="00F15821" w:rsidRPr="00453B3B">
        <w:rPr>
          <w:shd w:val="clear" w:color="auto" w:fill="FFFFFF"/>
        </w:rPr>
        <w:t xml:space="preserve"> average.</w:t>
      </w:r>
    </w:p>
    <w:tbl>
      <w:tblPr>
        <w:tblStyle w:val="TableGrid"/>
        <w:tblW w:w="9587" w:type="dxa"/>
        <w:tblInd w:w="1696" w:type="dxa"/>
        <w:tblLook w:val="04A0" w:firstRow="1" w:lastRow="0" w:firstColumn="1" w:lastColumn="0" w:noHBand="0" w:noVBand="1"/>
      </w:tblPr>
      <w:tblGrid>
        <w:gridCol w:w="3690"/>
        <w:gridCol w:w="1715"/>
        <w:gridCol w:w="2091"/>
        <w:gridCol w:w="2091"/>
      </w:tblGrid>
      <w:tr w:rsidR="00453B3B" w:rsidRPr="00453B3B" w14:paraId="449310EA" w14:textId="77777777" w:rsidTr="00B34868">
        <w:trPr>
          <w:trHeight w:val="300"/>
        </w:trPr>
        <w:tc>
          <w:tcPr>
            <w:tcW w:w="3690" w:type="dxa"/>
          </w:tcPr>
          <w:p w14:paraId="4B6DA86A" w14:textId="77777777" w:rsidR="00CB0F48" w:rsidRPr="00825CFD" w:rsidRDefault="00CB0F48">
            <w:pPr>
              <w:pStyle w:val="Heading1"/>
              <w:rPr>
                <w:rFonts w:ascii="Arial" w:hAnsi="Arial" w:cs="Arial"/>
                <w:noProof/>
                <w:color w:val="auto"/>
                <w:sz w:val="24"/>
                <w:szCs w:val="24"/>
                <w:lang w:val="en-US" w:eastAsia="en-GB"/>
              </w:rPr>
            </w:pPr>
            <w:bookmarkStart w:id="2" w:name="_Toc1841275260"/>
          </w:p>
        </w:tc>
        <w:tc>
          <w:tcPr>
            <w:tcW w:w="1715" w:type="dxa"/>
          </w:tcPr>
          <w:p w14:paraId="48E2C2A0" w14:textId="472A44A5" w:rsidR="00CB0F48" w:rsidRPr="00825CFD" w:rsidRDefault="00CB0F48">
            <w:pPr>
              <w:pStyle w:val="Heading1"/>
              <w:rPr>
                <w:rFonts w:ascii="Arial" w:hAnsi="Arial" w:cs="Arial"/>
                <w:b/>
                <w:bCs/>
                <w:noProof/>
                <w:color w:val="auto"/>
                <w:sz w:val="24"/>
                <w:szCs w:val="24"/>
                <w:lang w:val="en-US" w:eastAsia="en-GB"/>
              </w:rPr>
            </w:pPr>
            <w:r w:rsidRPr="00825CFD">
              <w:rPr>
                <w:rFonts w:ascii="Arial" w:hAnsi="Arial" w:cs="Arial"/>
                <w:b/>
                <w:bCs/>
                <w:noProof/>
                <w:color w:val="auto"/>
                <w:sz w:val="24"/>
                <w:szCs w:val="24"/>
                <w:lang w:val="en-US" w:eastAsia="en-GB"/>
              </w:rPr>
              <w:t>Oxfordshire</w:t>
            </w:r>
          </w:p>
        </w:tc>
        <w:tc>
          <w:tcPr>
            <w:tcW w:w="2091" w:type="dxa"/>
          </w:tcPr>
          <w:p w14:paraId="3E513EFB" w14:textId="5A9E5BC3" w:rsidR="00CB0F48" w:rsidRPr="00825CFD" w:rsidRDefault="00CB0F48">
            <w:pPr>
              <w:pStyle w:val="Heading1"/>
              <w:rPr>
                <w:rFonts w:ascii="Arial" w:hAnsi="Arial" w:cs="Arial"/>
                <w:b/>
                <w:bCs/>
                <w:noProof/>
                <w:color w:val="auto"/>
                <w:sz w:val="24"/>
                <w:szCs w:val="24"/>
                <w:lang w:val="en-US" w:eastAsia="en-GB"/>
              </w:rPr>
            </w:pPr>
            <w:r w:rsidRPr="00825CFD">
              <w:rPr>
                <w:rFonts w:ascii="Arial" w:hAnsi="Arial" w:cs="Arial"/>
                <w:b/>
                <w:bCs/>
                <w:noProof/>
                <w:color w:val="auto"/>
                <w:sz w:val="24"/>
                <w:szCs w:val="24"/>
                <w:lang w:val="en-US" w:eastAsia="en-GB"/>
              </w:rPr>
              <w:t>South East</w:t>
            </w:r>
          </w:p>
        </w:tc>
        <w:tc>
          <w:tcPr>
            <w:tcW w:w="2091" w:type="dxa"/>
          </w:tcPr>
          <w:p w14:paraId="65A68293" w14:textId="609D896A" w:rsidR="00CB0F48" w:rsidRPr="00825CFD" w:rsidRDefault="00CB0F48">
            <w:pPr>
              <w:pStyle w:val="Heading1"/>
              <w:rPr>
                <w:rFonts w:ascii="Arial" w:hAnsi="Arial" w:cs="Arial"/>
                <w:b/>
                <w:bCs/>
                <w:noProof/>
                <w:color w:val="auto"/>
                <w:sz w:val="24"/>
                <w:szCs w:val="24"/>
                <w:lang w:val="en-US" w:eastAsia="en-GB"/>
              </w:rPr>
            </w:pPr>
            <w:r w:rsidRPr="00825CFD">
              <w:rPr>
                <w:rFonts w:ascii="Arial" w:hAnsi="Arial" w:cs="Arial"/>
                <w:b/>
                <w:bCs/>
                <w:noProof/>
                <w:color w:val="auto"/>
                <w:sz w:val="24"/>
                <w:szCs w:val="24"/>
                <w:lang w:val="en-US" w:eastAsia="en-GB"/>
              </w:rPr>
              <w:t>England</w:t>
            </w:r>
          </w:p>
        </w:tc>
      </w:tr>
      <w:tr w:rsidR="00453B3B" w:rsidRPr="00453B3B" w14:paraId="400BBAB7" w14:textId="77777777" w:rsidTr="00B34868">
        <w:trPr>
          <w:trHeight w:val="300"/>
        </w:trPr>
        <w:tc>
          <w:tcPr>
            <w:tcW w:w="3690" w:type="dxa"/>
          </w:tcPr>
          <w:p w14:paraId="218064AD" w14:textId="761EF858" w:rsidR="00CB0F48" w:rsidRPr="00825CFD" w:rsidRDefault="00CB0F48">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Gender</w:t>
            </w:r>
          </w:p>
        </w:tc>
        <w:tc>
          <w:tcPr>
            <w:tcW w:w="1715" w:type="dxa"/>
          </w:tcPr>
          <w:p w14:paraId="55A310DF" w14:textId="6C2675A3" w:rsidR="00CB0F48" w:rsidRPr="00825CFD" w:rsidRDefault="00FB1932">
            <w:pPr>
              <w:pStyle w:val="Heading1"/>
              <w:rPr>
                <w:rFonts w:ascii="Arial" w:hAnsi="Arial" w:cs="Arial"/>
                <w:noProof/>
                <w:color w:val="auto"/>
                <w:sz w:val="24"/>
                <w:szCs w:val="24"/>
                <w:lang w:val="en-US" w:eastAsia="en-GB"/>
              </w:rPr>
            </w:pPr>
            <w:r>
              <w:rPr>
                <w:rFonts w:ascii="Arial" w:hAnsi="Arial" w:cs="Arial"/>
                <w:noProof/>
                <w:color w:val="auto"/>
                <w:sz w:val="24"/>
                <w:szCs w:val="24"/>
                <w:lang w:val="en-US" w:eastAsia="en-GB"/>
              </w:rPr>
              <w:t>80</w:t>
            </w:r>
            <w:r w:rsidR="00CB0F48" w:rsidRPr="00825CFD">
              <w:rPr>
                <w:rFonts w:ascii="Arial" w:hAnsi="Arial" w:cs="Arial"/>
                <w:noProof/>
                <w:color w:val="auto"/>
                <w:sz w:val="24"/>
                <w:szCs w:val="24"/>
                <w:lang w:val="en-US" w:eastAsia="en-GB"/>
              </w:rPr>
              <w:t>% female</w:t>
            </w:r>
          </w:p>
        </w:tc>
        <w:tc>
          <w:tcPr>
            <w:tcW w:w="2091" w:type="dxa"/>
          </w:tcPr>
          <w:p w14:paraId="6BCB148C" w14:textId="6FCCFF86" w:rsidR="00CB0F48" w:rsidRPr="00825CFD" w:rsidRDefault="00E43DCE">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8</w:t>
            </w:r>
            <w:r w:rsidR="00F31AF4">
              <w:rPr>
                <w:rFonts w:ascii="Arial" w:hAnsi="Arial" w:cs="Arial"/>
                <w:noProof/>
                <w:color w:val="auto"/>
                <w:sz w:val="24"/>
                <w:szCs w:val="24"/>
                <w:lang w:val="en-US" w:eastAsia="en-GB"/>
              </w:rPr>
              <w:t>0</w:t>
            </w:r>
            <w:r w:rsidRPr="00825CFD">
              <w:rPr>
                <w:rFonts w:ascii="Arial" w:hAnsi="Arial" w:cs="Arial"/>
                <w:noProof/>
                <w:color w:val="auto"/>
                <w:sz w:val="24"/>
                <w:szCs w:val="24"/>
                <w:lang w:val="en-US" w:eastAsia="en-GB"/>
              </w:rPr>
              <w:t>% female</w:t>
            </w:r>
          </w:p>
        </w:tc>
        <w:tc>
          <w:tcPr>
            <w:tcW w:w="2091" w:type="dxa"/>
          </w:tcPr>
          <w:p w14:paraId="791DAB11" w14:textId="180F2154" w:rsidR="00CB0F48" w:rsidRPr="00825CFD" w:rsidRDefault="00366D57">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8</w:t>
            </w:r>
            <w:r w:rsidR="00F31AF4">
              <w:rPr>
                <w:rFonts w:ascii="Arial" w:hAnsi="Arial" w:cs="Arial"/>
                <w:noProof/>
                <w:color w:val="auto"/>
                <w:sz w:val="24"/>
                <w:szCs w:val="24"/>
                <w:lang w:val="en-US" w:eastAsia="en-GB"/>
              </w:rPr>
              <w:t>1</w:t>
            </w:r>
            <w:r w:rsidRPr="00825CFD">
              <w:rPr>
                <w:rFonts w:ascii="Arial" w:hAnsi="Arial" w:cs="Arial"/>
                <w:noProof/>
                <w:color w:val="auto"/>
                <w:sz w:val="24"/>
                <w:szCs w:val="24"/>
                <w:lang w:val="en-US" w:eastAsia="en-GB"/>
              </w:rPr>
              <w:t>% female</w:t>
            </w:r>
          </w:p>
        </w:tc>
      </w:tr>
      <w:tr w:rsidR="00453B3B" w:rsidRPr="00453B3B" w14:paraId="4BBF9F01" w14:textId="77777777" w:rsidTr="00B34868">
        <w:trPr>
          <w:trHeight w:val="300"/>
        </w:trPr>
        <w:tc>
          <w:tcPr>
            <w:tcW w:w="3690" w:type="dxa"/>
          </w:tcPr>
          <w:p w14:paraId="7E39369F" w14:textId="464F6FAE" w:rsidR="00CB0F48" w:rsidRPr="00825CFD" w:rsidRDefault="00CB0F48">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Nationality</w:t>
            </w:r>
          </w:p>
        </w:tc>
        <w:tc>
          <w:tcPr>
            <w:tcW w:w="1715" w:type="dxa"/>
          </w:tcPr>
          <w:p w14:paraId="73F172C9" w14:textId="651CCF7F" w:rsidR="00CB0F48" w:rsidRPr="00825CFD" w:rsidRDefault="00FB1932">
            <w:pPr>
              <w:pStyle w:val="Heading1"/>
              <w:rPr>
                <w:rFonts w:ascii="Arial" w:hAnsi="Arial" w:cs="Arial"/>
                <w:noProof/>
                <w:color w:val="auto"/>
                <w:sz w:val="24"/>
                <w:szCs w:val="24"/>
                <w:lang w:val="en-US" w:eastAsia="en-GB"/>
              </w:rPr>
            </w:pPr>
            <w:r w:rsidRPr="00B34868">
              <w:rPr>
                <w:rFonts w:ascii="Arial" w:hAnsi="Arial" w:cs="Arial"/>
                <w:noProof/>
                <w:color w:val="auto"/>
                <w:sz w:val="24"/>
                <w:szCs w:val="24"/>
                <w:lang w:val="en-US" w:eastAsia="en-GB"/>
              </w:rPr>
              <w:t>36</w:t>
            </w:r>
            <w:r w:rsidR="00CB0F48" w:rsidRPr="00B34868">
              <w:rPr>
                <w:rFonts w:ascii="Arial" w:hAnsi="Arial" w:cs="Arial"/>
                <w:noProof/>
                <w:color w:val="auto"/>
                <w:sz w:val="24"/>
                <w:szCs w:val="24"/>
                <w:lang w:val="en-US" w:eastAsia="en-GB"/>
              </w:rPr>
              <w:t xml:space="preserve">% </w:t>
            </w:r>
            <w:r w:rsidR="00FB5279" w:rsidRPr="00B34868">
              <w:rPr>
                <w:rFonts w:ascii="Arial" w:hAnsi="Arial" w:cs="Arial"/>
                <w:noProof/>
                <w:color w:val="auto"/>
                <w:sz w:val="24"/>
                <w:szCs w:val="24"/>
                <w:lang w:val="en-US" w:eastAsia="en-GB"/>
              </w:rPr>
              <w:t>non-</w:t>
            </w:r>
            <w:r w:rsidR="00CB0F48" w:rsidRPr="00B34868">
              <w:rPr>
                <w:rFonts w:ascii="Arial" w:hAnsi="Arial" w:cs="Arial"/>
                <w:noProof/>
                <w:color w:val="auto"/>
                <w:sz w:val="24"/>
                <w:szCs w:val="24"/>
                <w:lang w:val="en-US" w:eastAsia="en-GB"/>
              </w:rPr>
              <w:t>British</w:t>
            </w:r>
          </w:p>
        </w:tc>
        <w:tc>
          <w:tcPr>
            <w:tcW w:w="2091" w:type="dxa"/>
          </w:tcPr>
          <w:p w14:paraId="10CD8122" w14:textId="4E3C6326" w:rsidR="00CB0F48" w:rsidRPr="00825CFD" w:rsidRDefault="00FB5279">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2</w:t>
            </w:r>
            <w:r w:rsidR="00F31AF4">
              <w:rPr>
                <w:rFonts w:ascii="Arial" w:hAnsi="Arial" w:cs="Arial"/>
                <w:noProof/>
                <w:color w:val="auto"/>
                <w:sz w:val="24"/>
                <w:szCs w:val="24"/>
                <w:lang w:val="en-US" w:eastAsia="en-GB"/>
              </w:rPr>
              <w:t>6</w:t>
            </w:r>
            <w:r w:rsidR="00E43DCE" w:rsidRPr="00825CFD">
              <w:rPr>
                <w:rFonts w:ascii="Arial" w:hAnsi="Arial" w:cs="Arial"/>
                <w:noProof/>
                <w:color w:val="auto"/>
                <w:sz w:val="24"/>
                <w:szCs w:val="24"/>
                <w:lang w:val="en-US" w:eastAsia="en-GB"/>
              </w:rPr>
              <w:t xml:space="preserve">% </w:t>
            </w:r>
            <w:r w:rsidRPr="00825CFD">
              <w:rPr>
                <w:rFonts w:ascii="Arial" w:hAnsi="Arial" w:cs="Arial"/>
                <w:noProof/>
                <w:color w:val="auto"/>
                <w:sz w:val="24"/>
                <w:szCs w:val="24"/>
                <w:lang w:val="en-US" w:eastAsia="en-GB"/>
              </w:rPr>
              <w:t>non-</w:t>
            </w:r>
            <w:r w:rsidR="00E43DCE" w:rsidRPr="00825CFD">
              <w:rPr>
                <w:rFonts w:ascii="Arial" w:hAnsi="Arial" w:cs="Arial"/>
                <w:noProof/>
                <w:color w:val="auto"/>
                <w:sz w:val="24"/>
                <w:szCs w:val="24"/>
                <w:lang w:val="en-US" w:eastAsia="en-GB"/>
              </w:rPr>
              <w:t>British</w:t>
            </w:r>
          </w:p>
        </w:tc>
        <w:tc>
          <w:tcPr>
            <w:tcW w:w="2091" w:type="dxa"/>
          </w:tcPr>
          <w:p w14:paraId="04A16F3C" w14:textId="00FD0281" w:rsidR="00CB0F48" w:rsidRPr="00825CFD" w:rsidRDefault="00FB5279">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1</w:t>
            </w:r>
            <w:r w:rsidR="00F31AF4">
              <w:rPr>
                <w:rFonts w:ascii="Arial" w:hAnsi="Arial" w:cs="Arial"/>
                <w:noProof/>
                <w:color w:val="auto"/>
                <w:sz w:val="24"/>
                <w:szCs w:val="24"/>
                <w:lang w:val="en-US" w:eastAsia="en-GB"/>
              </w:rPr>
              <w:t>9</w:t>
            </w:r>
            <w:r w:rsidR="00E43DCE" w:rsidRPr="00825CFD">
              <w:rPr>
                <w:rFonts w:ascii="Arial" w:hAnsi="Arial" w:cs="Arial"/>
                <w:noProof/>
                <w:color w:val="auto"/>
                <w:sz w:val="24"/>
                <w:szCs w:val="24"/>
                <w:lang w:val="en-US" w:eastAsia="en-GB"/>
              </w:rPr>
              <w:t xml:space="preserve">% </w:t>
            </w:r>
            <w:r w:rsidRPr="00825CFD">
              <w:rPr>
                <w:rFonts w:ascii="Arial" w:hAnsi="Arial" w:cs="Arial"/>
                <w:noProof/>
                <w:color w:val="auto"/>
                <w:sz w:val="24"/>
                <w:szCs w:val="24"/>
                <w:lang w:val="en-US" w:eastAsia="en-GB"/>
              </w:rPr>
              <w:t>non-</w:t>
            </w:r>
            <w:r w:rsidR="00E43DCE" w:rsidRPr="00825CFD">
              <w:rPr>
                <w:rFonts w:ascii="Arial" w:hAnsi="Arial" w:cs="Arial"/>
                <w:noProof/>
                <w:color w:val="auto"/>
                <w:sz w:val="24"/>
                <w:szCs w:val="24"/>
                <w:lang w:val="en-US" w:eastAsia="en-GB"/>
              </w:rPr>
              <w:t>British</w:t>
            </w:r>
          </w:p>
        </w:tc>
      </w:tr>
      <w:tr w:rsidR="00453B3B" w:rsidRPr="00453B3B" w14:paraId="61FF0D50" w14:textId="77777777" w:rsidTr="00B34868">
        <w:trPr>
          <w:trHeight w:val="300"/>
        </w:trPr>
        <w:tc>
          <w:tcPr>
            <w:tcW w:w="3690" w:type="dxa"/>
          </w:tcPr>
          <w:p w14:paraId="3E59934F" w14:textId="2B424EFF" w:rsidR="00CB0F48" w:rsidRPr="00825CFD" w:rsidRDefault="00BC544A">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Proportion of workforce that are from e</w:t>
            </w:r>
            <w:r w:rsidR="00CB0F48" w:rsidRPr="00825CFD">
              <w:rPr>
                <w:rFonts w:ascii="Arial" w:hAnsi="Arial" w:cs="Arial"/>
                <w:noProof/>
                <w:color w:val="auto"/>
                <w:sz w:val="24"/>
                <w:szCs w:val="24"/>
                <w:lang w:val="en-US" w:eastAsia="en-GB"/>
              </w:rPr>
              <w:t>thnicity</w:t>
            </w:r>
            <w:r w:rsidR="007231A2" w:rsidRPr="00825CFD">
              <w:rPr>
                <w:rFonts w:ascii="Arial" w:hAnsi="Arial" w:cs="Arial"/>
                <w:noProof/>
                <w:color w:val="auto"/>
                <w:sz w:val="24"/>
                <w:szCs w:val="24"/>
                <w:lang w:val="en-US" w:eastAsia="en-GB"/>
              </w:rPr>
              <w:t xml:space="preserve"> minorit</w:t>
            </w:r>
            <w:r w:rsidRPr="00825CFD">
              <w:rPr>
                <w:rFonts w:ascii="Arial" w:hAnsi="Arial" w:cs="Arial"/>
                <w:noProof/>
                <w:color w:val="auto"/>
                <w:sz w:val="24"/>
                <w:szCs w:val="24"/>
                <w:lang w:val="en-US" w:eastAsia="en-GB"/>
              </w:rPr>
              <w:t>y groups</w:t>
            </w:r>
          </w:p>
        </w:tc>
        <w:tc>
          <w:tcPr>
            <w:tcW w:w="1715" w:type="dxa"/>
          </w:tcPr>
          <w:p w14:paraId="0D7505B5" w14:textId="5D1B81D3" w:rsidR="00CB0F48" w:rsidRPr="00825CFD" w:rsidRDefault="00FB1932">
            <w:pPr>
              <w:pStyle w:val="Heading1"/>
              <w:rPr>
                <w:rFonts w:ascii="Arial" w:hAnsi="Arial" w:cs="Arial"/>
                <w:noProof/>
                <w:color w:val="auto"/>
                <w:sz w:val="24"/>
                <w:szCs w:val="24"/>
                <w:lang w:val="en-US" w:eastAsia="en-GB"/>
              </w:rPr>
            </w:pPr>
            <w:r>
              <w:rPr>
                <w:rFonts w:ascii="Arial" w:hAnsi="Arial" w:cs="Arial"/>
                <w:noProof/>
                <w:color w:val="auto"/>
                <w:sz w:val="24"/>
                <w:szCs w:val="24"/>
                <w:lang w:val="en-US" w:eastAsia="en-GB"/>
              </w:rPr>
              <w:t>29</w:t>
            </w:r>
            <w:r w:rsidR="00366D57" w:rsidRPr="00825CFD">
              <w:rPr>
                <w:rFonts w:ascii="Arial" w:hAnsi="Arial" w:cs="Arial"/>
                <w:noProof/>
                <w:color w:val="auto"/>
                <w:sz w:val="24"/>
                <w:szCs w:val="24"/>
                <w:lang w:val="en-US" w:eastAsia="en-GB"/>
              </w:rPr>
              <w:t>%</w:t>
            </w:r>
          </w:p>
        </w:tc>
        <w:tc>
          <w:tcPr>
            <w:tcW w:w="2091" w:type="dxa"/>
          </w:tcPr>
          <w:p w14:paraId="5D68B995" w14:textId="3C141B4A" w:rsidR="00CB0F48" w:rsidRPr="00825CFD" w:rsidRDefault="00FB5279">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2</w:t>
            </w:r>
            <w:r w:rsidR="00F31AF4">
              <w:rPr>
                <w:rFonts w:ascii="Arial" w:hAnsi="Arial" w:cs="Arial"/>
                <w:noProof/>
                <w:color w:val="auto"/>
                <w:sz w:val="24"/>
                <w:szCs w:val="24"/>
                <w:lang w:val="en-US" w:eastAsia="en-GB"/>
              </w:rPr>
              <w:t>4</w:t>
            </w:r>
            <w:r w:rsidRPr="00825CFD">
              <w:rPr>
                <w:rFonts w:ascii="Arial" w:hAnsi="Arial" w:cs="Arial"/>
                <w:noProof/>
                <w:color w:val="auto"/>
                <w:sz w:val="24"/>
                <w:szCs w:val="24"/>
                <w:lang w:val="en-US" w:eastAsia="en-GB"/>
              </w:rPr>
              <w:t xml:space="preserve">% </w:t>
            </w:r>
          </w:p>
        </w:tc>
        <w:tc>
          <w:tcPr>
            <w:tcW w:w="2091" w:type="dxa"/>
          </w:tcPr>
          <w:p w14:paraId="7A53A307" w14:textId="170D324D" w:rsidR="00CB0F48" w:rsidRPr="00825CFD" w:rsidRDefault="00F31AF4">
            <w:pPr>
              <w:pStyle w:val="Heading1"/>
              <w:rPr>
                <w:rFonts w:ascii="Arial" w:hAnsi="Arial" w:cs="Arial"/>
                <w:noProof/>
                <w:color w:val="auto"/>
                <w:sz w:val="24"/>
                <w:szCs w:val="24"/>
                <w:lang w:val="en-US" w:eastAsia="en-GB"/>
              </w:rPr>
            </w:pPr>
            <w:r>
              <w:rPr>
                <w:rFonts w:ascii="Arial" w:hAnsi="Arial" w:cs="Arial"/>
                <w:noProof/>
                <w:color w:val="auto"/>
                <w:sz w:val="24"/>
                <w:szCs w:val="24"/>
                <w:lang w:val="en-US" w:eastAsia="en-GB"/>
              </w:rPr>
              <w:t>23</w:t>
            </w:r>
            <w:r w:rsidR="00FB5279" w:rsidRPr="00825CFD">
              <w:rPr>
                <w:rFonts w:ascii="Arial" w:hAnsi="Arial" w:cs="Arial"/>
                <w:noProof/>
                <w:color w:val="auto"/>
                <w:sz w:val="24"/>
                <w:szCs w:val="24"/>
                <w:lang w:val="en-US" w:eastAsia="en-GB"/>
              </w:rPr>
              <w:t xml:space="preserve">% </w:t>
            </w:r>
          </w:p>
        </w:tc>
      </w:tr>
      <w:tr w:rsidR="00453B3B" w:rsidRPr="00453B3B" w14:paraId="7ACE56D1" w14:textId="77777777" w:rsidTr="00B34868">
        <w:trPr>
          <w:trHeight w:val="300"/>
        </w:trPr>
        <w:tc>
          <w:tcPr>
            <w:tcW w:w="3690" w:type="dxa"/>
          </w:tcPr>
          <w:p w14:paraId="61A5F109" w14:textId="650CF027" w:rsidR="00CB0F48" w:rsidRPr="00825CFD" w:rsidRDefault="00CB0F48">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 xml:space="preserve">Average age </w:t>
            </w:r>
          </w:p>
        </w:tc>
        <w:tc>
          <w:tcPr>
            <w:tcW w:w="1715" w:type="dxa"/>
          </w:tcPr>
          <w:p w14:paraId="361CD28B" w14:textId="701C1B66" w:rsidR="00CB0F48" w:rsidRPr="00825CFD" w:rsidRDefault="00CB0F48">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4</w:t>
            </w:r>
            <w:r w:rsidR="00FB1932">
              <w:rPr>
                <w:rFonts w:ascii="Arial" w:hAnsi="Arial" w:cs="Arial"/>
                <w:noProof/>
                <w:color w:val="auto"/>
                <w:sz w:val="24"/>
                <w:szCs w:val="24"/>
                <w:lang w:val="en-US" w:eastAsia="en-GB"/>
              </w:rPr>
              <w:t>3</w:t>
            </w:r>
          </w:p>
        </w:tc>
        <w:tc>
          <w:tcPr>
            <w:tcW w:w="2091" w:type="dxa"/>
          </w:tcPr>
          <w:p w14:paraId="0AC5E408" w14:textId="2DFBF7F4" w:rsidR="00CB0F48" w:rsidRPr="00825CFD" w:rsidRDefault="00E43DCE">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44</w:t>
            </w:r>
          </w:p>
        </w:tc>
        <w:tc>
          <w:tcPr>
            <w:tcW w:w="2091" w:type="dxa"/>
          </w:tcPr>
          <w:p w14:paraId="042DE612" w14:textId="7A4B9CAC" w:rsidR="00CB0F48" w:rsidRPr="00825CFD" w:rsidRDefault="00366D57">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t>45</w:t>
            </w:r>
          </w:p>
        </w:tc>
      </w:tr>
    </w:tbl>
    <w:p w14:paraId="408117EC" w14:textId="67DEA4C9" w:rsidR="005976C9" w:rsidRDefault="000978CC" w:rsidP="00501A8E">
      <w:pPr>
        <w:pStyle w:val="Heading1"/>
        <w:rPr>
          <w:noProof/>
        </w:rPr>
      </w:pPr>
      <w:bookmarkStart w:id="3" w:name="_Hlk155171511"/>
      <w:r w:rsidRPr="00825CFD">
        <w:rPr>
          <w:rFonts w:ascii="Arial" w:hAnsi="Arial" w:cs="Arial"/>
          <w:noProof/>
          <w:color w:val="auto"/>
          <w:sz w:val="24"/>
          <w:szCs w:val="24"/>
          <w:lang w:val="en-US" w:eastAsia="en-GB"/>
        </w:rPr>
        <w:t xml:space="preserve">Of particular interest is the proportion of the workforce who is approaching retirement </w:t>
      </w:r>
      <w:r w:rsidRPr="001531AB">
        <w:rPr>
          <w:rFonts w:ascii="Arial" w:hAnsi="Arial" w:cs="Arial"/>
          <w:noProof/>
          <w:color w:val="auto"/>
          <w:sz w:val="24"/>
          <w:szCs w:val="24"/>
          <w:lang w:val="en-US" w:eastAsia="en-GB"/>
        </w:rPr>
        <w:t xml:space="preserve">age. </w:t>
      </w:r>
      <w:r w:rsidR="00B93F24" w:rsidRPr="001531AB">
        <w:rPr>
          <w:rFonts w:ascii="Arial" w:hAnsi="Arial" w:cs="Arial"/>
          <w:noProof/>
          <w:color w:val="auto"/>
          <w:sz w:val="24"/>
          <w:szCs w:val="24"/>
          <w:lang w:val="en-US" w:eastAsia="en-GB"/>
        </w:rPr>
        <w:t>15%</w:t>
      </w:r>
      <w:r w:rsidR="00E265FF" w:rsidRPr="001531AB">
        <w:rPr>
          <w:rFonts w:ascii="Arial" w:hAnsi="Arial" w:cs="Arial"/>
          <w:noProof/>
          <w:color w:val="auto"/>
          <w:sz w:val="24"/>
          <w:szCs w:val="24"/>
          <w:lang w:val="en-US" w:eastAsia="en-GB"/>
        </w:rPr>
        <w:t xml:space="preserve"> </w:t>
      </w:r>
      <w:r w:rsidRPr="001531AB">
        <w:rPr>
          <w:rFonts w:ascii="Arial" w:hAnsi="Arial" w:cs="Arial"/>
          <w:noProof/>
          <w:color w:val="auto"/>
          <w:sz w:val="24"/>
          <w:szCs w:val="24"/>
          <w:lang w:val="en-US" w:eastAsia="en-GB"/>
        </w:rPr>
        <w:t>of our workforce</w:t>
      </w:r>
      <w:r w:rsidRPr="00825CFD">
        <w:rPr>
          <w:rFonts w:ascii="Arial" w:hAnsi="Arial" w:cs="Arial"/>
          <w:noProof/>
          <w:color w:val="auto"/>
          <w:sz w:val="24"/>
          <w:szCs w:val="24"/>
          <w:lang w:val="en-US" w:eastAsia="en-GB"/>
        </w:rPr>
        <w:t xml:space="preserve"> is over the age of </w:t>
      </w:r>
      <w:r w:rsidR="00B93F24">
        <w:rPr>
          <w:rFonts w:ascii="Arial" w:hAnsi="Arial" w:cs="Arial"/>
          <w:noProof/>
          <w:color w:val="auto"/>
          <w:sz w:val="24"/>
          <w:szCs w:val="24"/>
          <w:lang w:val="en-US" w:eastAsia="en-GB"/>
        </w:rPr>
        <w:t>60</w:t>
      </w:r>
      <w:r w:rsidRPr="00825CFD">
        <w:rPr>
          <w:rFonts w:ascii="Arial" w:hAnsi="Arial" w:cs="Arial"/>
          <w:noProof/>
          <w:color w:val="auto"/>
          <w:sz w:val="24"/>
          <w:szCs w:val="24"/>
          <w:lang w:val="en-US" w:eastAsia="en-GB"/>
        </w:rPr>
        <w:t xml:space="preserve">, and therefore likely to retire in the next </w:t>
      </w:r>
      <w:r w:rsidR="00B93F24">
        <w:rPr>
          <w:rFonts w:ascii="Arial" w:hAnsi="Arial" w:cs="Arial"/>
          <w:noProof/>
          <w:color w:val="auto"/>
          <w:sz w:val="24"/>
          <w:szCs w:val="24"/>
          <w:lang w:val="en-US" w:eastAsia="en-GB"/>
        </w:rPr>
        <w:t>5 to 7 years</w:t>
      </w:r>
      <w:bookmarkEnd w:id="3"/>
      <w:r w:rsidR="00B93F24">
        <w:rPr>
          <w:rFonts w:ascii="Arial" w:hAnsi="Arial" w:cs="Arial"/>
          <w:noProof/>
          <w:color w:val="auto"/>
          <w:sz w:val="24"/>
          <w:szCs w:val="24"/>
          <w:lang w:val="en-US" w:eastAsia="en-GB"/>
        </w:rPr>
        <w:t>.</w:t>
      </w:r>
      <w:r w:rsidR="00E2761B" w:rsidRPr="00E2761B">
        <w:rPr>
          <w:noProof/>
        </w:rPr>
        <w:t xml:space="preserve"> </w:t>
      </w:r>
    </w:p>
    <w:p w14:paraId="5745412C" w14:textId="77777777" w:rsidR="003436F1" w:rsidRDefault="003436F1" w:rsidP="003436F1"/>
    <w:p w14:paraId="09D7CA72" w14:textId="77777777" w:rsidR="003436F1" w:rsidRPr="001F4020" w:rsidRDefault="003436F1" w:rsidP="001F4020"/>
    <w:p w14:paraId="08D6CFD4" w14:textId="6483AF8E" w:rsidR="000978CC" w:rsidRPr="00825CFD" w:rsidRDefault="000978CC" w:rsidP="00825CFD">
      <w:pPr>
        <w:rPr>
          <w:lang w:val="en-US" w:eastAsia="en-GB"/>
        </w:rPr>
      </w:pPr>
    </w:p>
    <w:p w14:paraId="07139C23" w14:textId="34D69A04" w:rsidR="00973622" w:rsidRDefault="005976C9" w:rsidP="00501A8E">
      <w:pPr>
        <w:pStyle w:val="Heading1"/>
        <w:rPr>
          <w:rFonts w:ascii="Arial" w:hAnsi="Arial" w:cs="Arial"/>
          <w:noProof/>
          <w:color w:val="auto"/>
          <w:sz w:val="24"/>
          <w:szCs w:val="24"/>
          <w:lang w:val="en-US" w:eastAsia="en-GB"/>
        </w:rPr>
      </w:pPr>
      <w:r w:rsidRPr="00825CFD">
        <w:rPr>
          <w:rFonts w:ascii="Arial" w:hAnsi="Arial" w:cs="Arial"/>
          <w:noProof/>
          <w:color w:val="auto"/>
          <w:sz w:val="24"/>
          <w:szCs w:val="24"/>
          <w:lang w:val="en-US" w:eastAsia="en-GB"/>
        </w:rPr>
        <w:lastRenderedPageBreak/>
        <w:t xml:space="preserve">When we look at qualification rates, </w:t>
      </w:r>
      <w:r w:rsidR="00501A8E" w:rsidRPr="00825CFD">
        <w:rPr>
          <w:rFonts w:ascii="Arial" w:hAnsi="Arial" w:cs="Arial"/>
          <w:noProof/>
          <w:color w:val="auto"/>
          <w:sz w:val="24"/>
          <w:szCs w:val="24"/>
          <w:lang w:val="en-US" w:eastAsia="en-GB"/>
        </w:rPr>
        <w:t xml:space="preserve">Skills for Care estimates show that </w:t>
      </w:r>
      <w:r w:rsidR="00501A8E" w:rsidRPr="00F31AF4">
        <w:rPr>
          <w:rFonts w:ascii="Arial" w:hAnsi="Arial" w:cs="Arial"/>
          <w:noProof/>
          <w:color w:val="auto"/>
          <w:sz w:val="24"/>
          <w:szCs w:val="24"/>
          <w:lang w:val="en-US" w:eastAsia="en-GB"/>
        </w:rPr>
        <w:t>3</w:t>
      </w:r>
      <w:r w:rsidR="00F31AF4" w:rsidRPr="008F4F21">
        <w:rPr>
          <w:rFonts w:ascii="Arial" w:hAnsi="Arial" w:cs="Arial"/>
          <w:noProof/>
          <w:color w:val="auto"/>
          <w:sz w:val="24"/>
          <w:szCs w:val="24"/>
          <w:lang w:val="en-US" w:eastAsia="en-GB"/>
        </w:rPr>
        <w:t>8</w:t>
      </w:r>
      <w:r w:rsidR="00501A8E" w:rsidRPr="00F31AF4">
        <w:rPr>
          <w:rFonts w:ascii="Arial" w:hAnsi="Arial" w:cs="Arial"/>
          <w:noProof/>
          <w:color w:val="auto"/>
          <w:sz w:val="24"/>
          <w:szCs w:val="24"/>
          <w:lang w:val="en-US" w:eastAsia="en-GB"/>
        </w:rPr>
        <w:t>% of the direct care providing workforce in Oxfordshire hold a relevant adult social care qualification</w:t>
      </w:r>
      <w:r w:rsidR="000978CC" w:rsidRPr="00F31AF4">
        <w:rPr>
          <w:rFonts w:ascii="Arial" w:hAnsi="Arial" w:cs="Arial"/>
          <w:noProof/>
          <w:color w:val="auto"/>
          <w:sz w:val="24"/>
          <w:szCs w:val="24"/>
          <w:lang w:val="en-US" w:eastAsia="en-GB"/>
        </w:rPr>
        <w:t>. This is lower than the</w:t>
      </w:r>
      <w:r w:rsidR="00501A8E" w:rsidRPr="00F31AF4">
        <w:rPr>
          <w:rFonts w:ascii="Arial" w:hAnsi="Arial" w:cs="Arial"/>
          <w:noProof/>
          <w:color w:val="auto"/>
          <w:sz w:val="24"/>
          <w:szCs w:val="24"/>
          <w:lang w:val="en-US" w:eastAsia="en-GB"/>
        </w:rPr>
        <w:t xml:space="preserve"> South East </w:t>
      </w:r>
      <w:r w:rsidR="000978CC" w:rsidRPr="00F31AF4">
        <w:rPr>
          <w:rFonts w:ascii="Arial" w:hAnsi="Arial" w:cs="Arial"/>
          <w:noProof/>
          <w:color w:val="auto"/>
          <w:sz w:val="24"/>
          <w:szCs w:val="24"/>
          <w:lang w:val="en-US" w:eastAsia="en-GB"/>
        </w:rPr>
        <w:t xml:space="preserve">(42%) </w:t>
      </w:r>
      <w:r w:rsidR="00501A8E" w:rsidRPr="00F31AF4">
        <w:rPr>
          <w:rFonts w:ascii="Arial" w:hAnsi="Arial" w:cs="Arial"/>
          <w:noProof/>
          <w:color w:val="auto"/>
          <w:sz w:val="24"/>
          <w:szCs w:val="24"/>
          <w:lang w:val="en-US" w:eastAsia="en-GB"/>
        </w:rPr>
        <w:t>and England</w:t>
      </w:r>
      <w:r w:rsidR="000978CC" w:rsidRPr="00F31AF4">
        <w:rPr>
          <w:rFonts w:ascii="Arial" w:hAnsi="Arial" w:cs="Arial"/>
          <w:noProof/>
          <w:color w:val="auto"/>
          <w:sz w:val="24"/>
          <w:szCs w:val="24"/>
          <w:lang w:val="en-US" w:eastAsia="en-GB"/>
        </w:rPr>
        <w:t xml:space="preserve"> (4</w:t>
      </w:r>
      <w:r w:rsidR="00F31AF4" w:rsidRPr="008F4F21">
        <w:rPr>
          <w:rFonts w:ascii="Arial" w:hAnsi="Arial" w:cs="Arial"/>
          <w:noProof/>
          <w:color w:val="auto"/>
          <w:sz w:val="24"/>
          <w:szCs w:val="24"/>
          <w:lang w:val="en-US" w:eastAsia="en-GB"/>
        </w:rPr>
        <w:t>8</w:t>
      </w:r>
      <w:r w:rsidR="000978CC" w:rsidRPr="00F31AF4">
        <w:rPr>
          <w:rFonts w:ascii="Arial" w:hAnsi="Arial" w:cs="Arial"/>
          <w:noProof/>
          <w:color w:val="auto"/>
          <w:sz w:val="24"/>
          <w:szCs w:val="24"/>
          <w:lang w:val="en-US" w:eastAsia="en-GB"/>
        </w:rPr>
        <w:t>%</w:t>
      </w:r>
      <w:r w:rsidR="00501A8E" w:rsidRPr="00F31AF4">
        <w:rPr>
          <w:rFonts w:ascii="Arial" w:hAnsi="Arial" w:cs="Arial"/>
          <w:noProof/>
          <w:color w:val="auto"/>
          <w:sz w:val="24"/>
          <w:szCs w:val="24"/>
          <w:lang w:val="en-US" w:eastAsia="en-GB"/>
        </w:rPr>
        <w:t>)</w:t>
      </w:r>
      <w:r w:rsidR="00501A8E" w:rsidRPr="00F31AF4">
        <w:rPr>
          <w:rStyle w:val="FootnoteReference"/>
          <w:rFonts w:ascii="Arial" w:hAnsi="Arial" w:cs="Arial"/>
          <w:noProof/>
          <w:color w:val="auto"/>
          <w:sz w:val="24"/>
          <w:szCs w:val="24"/>
          <w:lang w:val="en-US" w:eastAsia="en-GB"/>
        </w:rPr>
        <w:footnoteReference w:id="2"/>
      </w:r>
      <w:r w:rsidR="00501A8E" w:rsidRPr="00F31AF4">
        <w:rPr>
          <w:rFonts w:ascii="Arial" w:hAnsi="Arial" w:cs="Arial"/>
          <w:noProof/>
          <w:color w:val="auto"/>
          <w:sz w:val="24"/>
          <w:szCs w:val="24"/>
          <w:lang w:val="en-US" w:eastAsia="en-GB"/>
        </w:rPr>
        <w:t>.</w:t>
      </w:r>
      <w:r w:rsidR="000978CC" w:rsidRPr="00825CFD">
        <w:rPr>
          <w:rFonts w:ascii="Arial" w:hAnsi="Arial" w:cs="Arial"/>
          <w:noProof/>
          <w:color w:val="auto"/>
          <w:sz w:val="24"/>
          <w:szCs w:val="24"/>
          <w:lang w:val="en-US" w:eastAsia="en-GB"/>
        </w:rPr>
        <w:t xml:space="preserve"> </w:t>
      </w:r>
    </w:p>
    <w:p w14:paraId="21637001" w14:textId="695981BB" w:rsidR="00437A76" w:rsidRDefault="00437A76" w:rsidP="00437A76">
      <w:pPr>
        <w:rPr>
          <w:lang w:val="en-US" w:eastAsia="en-GB"/>
        </w:rPr>
      </w:pPr>
    </w:p>
    <w:p w14:paraId="77361FBD" w14:textId="77777777" w:rsidR="00437A76" w:rsidRPr="008F4F21" w:rsidRDefault="00437A76" w:rsidP="008F4F21">
      <w:pPr>
        <w:rPr>
          <w:lang w:val="en-US" w:eastAsia="en-GB"/>
        </w:rPr>
      </w:pPr>
    </w:p>
    <w:p w14:paraId="580ABD48" w14:textId="34037591" w:rsidR="00CA75F2" w:rsidRDefault="00CA75F2" w:rsidP="00690A36">
      <w:pPr>
        <w:pStyle w:val="Heading1"/>
        <w:rPr>
          <w:rFonts w:ascii="Arial" w:hAnsi="Arial" w:cs="Arial"/>
          <w:noProof/>
          <w:lang w:val="en-US" w:eastAsia="en-GB"/>
        </w:rPr>
      </w:pPr>
      <w:r w:rsidRPr="00690A36">
        <w:rPr>
          <w:rFonts w:ascii="Arial" w:hAnsi="Arial" w:cs="Arial"/>
          <w:noProof/>
          <w:lang w:val="en-US" w:eastAsia="en-GB"/>
        </w:rPr>
        <w:t>The workforce challenge</w:t>
      </w:r>
      <w:bookmarkEnd w:id="2"/>
      <w:r w:rsidRPr="00690A36">
        <w:rPr>
          <w:rFonts w:ascii="Arial" w:hAnsi="Arial" w:cs="Arial"/>
          <w:noProof/>
          <w:lang w:val="en-US" w:eastAsia="en-GB"/>
        </w:rPr>
        <w:t xml:space="preserve"> </w:t>
      </w:r>
    </w:p>
    <w:p w14:paraId="03C200EA" w14:textId="77777777" w:rsidR="000F5CAF" w:rsidRPr="002D7955" w:rsidRDefault="000F5CAF" w:rsidP="002D7955">
      <w:pPr>
        <w:rPr>
          <w:lang w:val="en-US" w:eastAsia="en-GB"/>
        </w:rPr>
      </w:pPr>
    </w:p>
    <w:p w14:paraId="65B150AD" w14:textId="1BDF16E9" w:rsidR="00651BC5" w:rsidRDefault="7A7B6E73" w:rsidP="003C4900">
      <w:pPr>
        <w:spacing w:after="120" w:line="276" w:lineRule="auto"/>
        <w:rPr>
          <w:rFonts w:eastAsia="Times New Roman"/>
          <w:lang w:eastAsia="en-GB"/>
        </w:rPr>
      </w:pPr>
      <w:r w:rsidRPr="00E2149B">
        <w:rPr>
          <w:rFonts w:eastAsia="Times New Roman"/>
          <w:noProof/>
          <w:lang w:val="en-US" w:eastAsia="en-GB"/>
        </w:rPr>
        <w:t xml:space="preserve">Although adult social care workforce challenges are not new, they have </w:t>
      </w:r>
      <w:r w:rsidR="7C70A933" w:rsidRPr="00E2149B">
        <w:rPr>
          <w:rFonts w:eastAsia="Times New Roman"/>
          <w:noProof/>
          <w:lang w:val="en-US" w:eastAsia="en-GB"/>
        </w:rPr>
        <w:t xml:space="preserve">been exacerbated </w:t>
      </w:r>
      <w:r w:rsidR="00522771" w:rsidRPr="00E2149B">
        <w:rPr>
          <w:rFonts w:eastAsia="Times New Roman"/>
          <w:noProof/>
          <w:lang w:val="en-US" w:eastAsia="en-GB"/>
        </w:rPr>
        <w:t xml:space="preserve">since 2020. </w:t>
      </w:r>
    </w:p>
    <w:p w14:paraId="13F59156" w14:textId="290C9A5E" w:rsidR="00651BC5" w:rsidRPr="00032FDF" w:rsidRDefault="00651BC5" w:rsidP="003C4900">
      <w:pPr>
        <w:spacing w:after="120" w:line="276" w:lineRule="auto"/>
        <w:rPr>
          <w:rFonts w:eastAsia="Times New Roman"/>
          <w:lang w:eastAsia="en-GB"/>
        </w:rPr>
      </w:pPr>
      <w:r w:rsidRPr="00032FDF">
        <w:rPr>
          <w:rFonts w:eastAsia="Times New Roman"/>
          <w:lang w:eastAsia="en-GB"/>
        </w:rPr>
        <w:t>Nationally, the number of filled posts increased by 1% (20,000) between 2021/22 and 2022/23 and the vacancy rate has fallen by 7%, a decrease of 11,000 posts. However, vacancies remain higher than the reported rate given in 2012/13 when the records began</w:t>
      </w:r>
      <w:r w:rsidR="00B237C3" w:rsidRPr="00032FDF">
        <w:rPr>
          <w:rFonts w:eastAsia="Times New Roman"/>
          <w:lang w:eastAsia="en-GB"/>
        </w:rPr>
        <w:t>, standing at 9.</w:t>
      </w:r>
      <w:r w:rsidR="00B67620" w:rsidRPr="00032FDF">
        <w:rPr>
          <w:rFonts w:eastAsia="Times New Roman"/>
          <w:lang w:eastAsia="en-GB"/>
        </w:rPr>
        <w:t>9</w:t>
      </w:r>
      <w:r w:rsidR="00B237C3" w:rsidRPr="00032FDF">
        <w:rPr>
          <w:rFonts w:eastAsia="Times New Roman"/>
          <w:lang w:eastAsia="en-GB"/>
        </w:rPr>
        <w:t>% overall as of 2022/23</w:t>
      </w:r>
      <w:r w:rsidRPr="00032FDF">
        <w:rPr>
          <w:rFonts w:eastAsia="Times New Roman"/>
          <w:lang w:eastAsia="en-GB"/>
        </w:rPr>
        <w:t xml:space="preserve">. </w:t>
      </w:r>
      <w:r w:rsidR="00CE2940" w:rsidRPr="00032FDF">
        <w:rPr>
          <w:rFonts w:eastAsia="Times New Roman"/>
          <w:lang w:eastAsia="en-GB"/>
        </w:rPr>
        <w:t>The vacancy rate in adult social care remains higher than the NHS which reports an overall vacancy rate of 8.9% (June 2023)</w:t>
      </w:r>
    </w:p>
    <w:p w14:paraId="2F0C54A4" w14:textId="1E6C9CC2" w:rsidR="00CA75F2" w:rsidRPr="00E2149B" w:rsidRDefault="003C4900" w:rsidP="00CA75F2">
      <w:pPr>
        <w:spacing w:after="120" w:line="276" w:lineRule="auto"/>
        <w:rPr>
          <w:rFonts w:eastAsia="Times New Roman"/>
          <w:lang w:eastAsia="en-GB"/>
        </w:rPr>
      </w:pPr>
      <w:r w:rsidRPr="00032FDF">
        <w:rPr>
          <w:rFonts w:eastAsia="Times New Roman"/>
          <w:noProof/>
          <w:lang w:val="en-US" w:eastAsia="en-GB"/>
        </w:rPr>
        <w:t xml:space="preserve">The staff vacancy rate in Oxfordshire is </w:t>
      </w:r>
      <w:r w:rsidR="00CE2940" w:rsidRPr="00032FDF">
        <w:rPr>
          <w:rFonts w:eastAsia="Times New Roman"/>
          <w:noProof/>
          <w:lang w:val="en-US" w:eastAsia="en-GB"/>
        </w:rPr>
        <w:t xml:space="preserve">for </w:t>
      </w:r>
      <w:r w:rsidR="00323794" w:rsidRPr="00032FDF">
        <w:rPr>
          <w:rFonts w:eastAsia="Times New Roman"/>
          <w:lang w:eastAsia="en-GB"/>
        </w:rPr>
        <w:t xml:space="preserve">2022/23 </w:t>
      </w:r>
      <w:r w:rsidR="00CE2940" w:rsidRPr="00032FDF">
        <w:rPr>
          <w:rFonts w:eastAsia="Times New Roman"/>
          <w:lang w:eastAsia="en-GB"/>
        </w:rPr>
        <w:t xml:space="preserve">is given as </w:t>
      </w:r>
      <w:r w:rsidR="001F4020">
        <w:rPr>
          <w:rFonts w:eastAsia="Times New Roman"/>
          <w:lang w:eastAsia="en-GB"/>
        </w:rPr>
        <w:t>15.2</w:t>
      </w:r>
      <w:r w:rsidR="00323794" w:rsidRPr="00032FDF">
        <w:rPr>
          <w:rFonts w:eastAsia="Times New Roman"/>
          <w:lang w:eastAsia="en-GB"/>
        </w:rPr>
        <w:t xml:space="preserve">% </w:t>
      </w:r>
      <w:r w:rsidRPr="00032FDF">
        <w:rPr>
          <w:rFonts w:eastAsia="Times New Roman"/>
          <w:noProof/>
          <w:lang w:val="en-US" w:eastAsia="en-GB"/>
        </w:rPr>
        <w:t xml:space="preserve">which is higher than the UK average of </w:t>
      </w:r>
      <w:r w:rsidR="00CE2940" w:rsidRPr="00032FDF">
        <w:rPr>
          <w:rFonts w:eastAsia="Times New Roman"/>
          <w:noProof/>
          <w:lang w:val="en-US" w:eastAsia="en-GB"/>
        </w:rPr>
        <w:t>9.9</w:t>
      </w:r>
      <w:r w:rsidRPr="00032FDF">
        <w:rPr>
          <w:rFonts w:eastAsia="Times New Roman"/>
          <w:noProof/>
          <w:lang w:val="en-US" w:eastAsia="en-GB"/>
        </w:rPr>
        <w:t xml:space="preserve">%. </w:t>
      </w:r>
      <w:r w:rsidR="00735A96" w:rsidRPr="00032FDF">
        <w:rPr>
          <w:rFonts w:eastAsia="Times New Roman"/>
          <w:lang w:eastAsia="en-GB"/>
        </w:rPr>
        <w:t>Analysis conducted by The Kings’ Fund in 2023</w:t>
      </w:r>
      <w:r w:rsidR="00D7153A" w:rsidRPr="00032FDF">
        <w:rPr>
          <w:rStyle w:val="FootnoteReference"/>
          <w:rFonts w:eastAsia="Times New Roman"/>
          <w:lang w:eastAsia="en-GB"/>
        </w:rPr>
        <w:footnoteReference w:id="3"/>
      </w:r>
      <w:r w:rsidR="00D7153A" w:rsidRPr="00032FDF">
        <w:rPr>
          <w:rFonts w:eastAsia="Times New Roman"/>
          <w:lang w:eastAsia="en-GB"/>
        </w:rPr>
        <w:t xml:space="preserve"> explains that “t</w:t>
      </w:r>
      <w:r w:rsidR="00735A96" w:rsidRPr="00032FDF">
        <w:rPr>
          <w:shd w:val="clear" w:color="auto" w:fill="FFFFFF"/>
        </w:rPr>
        <w:t>he vacancy rate is an important indicator of providers’ capacity to deliver social care services. Staffing also affects quality</w:t>
      </w:r>
      <w:r w:rsidR="00D7153A" w:rsidRPr="00032FDF">
        <w:rPr>
          <w:shd w:val="clear" w:color="auto" w:fill="FFFFFF"/>
        </w:rPr>
        <w:t>: [for example]</w:t>
      </w:r>
      <w:r w:rsidR="00735A96" w:rsidRPr="00032FDF">
        <w:rPr>
          <w:shd w:val="clear" w:color="auto" w:fill="FFFFFF"/>
        </w:rPr>
        <w:t xml:space="preserve"> higher staff-to-bed ratios in care homes correlate with higher Care Quality Commission ratings. In an open jobs market, it is also an indicator of the relative attractiveness of social care as a career compared to other sectors.</w:t>
      </w:r>
      <w:r w:rsidR="00FF0376" w:rsidRPr="00032FDF">
        <w:rPr>
          <w:shd w:val="clear" w:color="auto" w:fill="FFFFFF"/>
        </w:rPr>
        <w:t>”</w:t>
      </w:r>
    </w:p>
    <w:p w14:paraId="23050EBD" w14:textId="6966CF6F" w:rsidR="00735A96" w:rsidRPr="00E2149B" w:rsidRDefault="00735A96" w:rsidP="00CA75F2">
      <w:pPr>
        <w:spacing w:after="120" w:line="276" w:lineRule="auto"/>
        <w:rPr>
          <w:rFonts w:eastAsia="Times New Roman"/>
          <w:lang w:eastAsia="en-GB"/>
        </w:rPr>
      </w:pPr>
      <w:r w:rsidRPr="00E2149B">
        <w:rPr>
          <w:noProof/>
          <w:color w:val="2B579A"/>
          <w:shd w:val="clear" w:color="auto" w:fill="E6E6E6"/>
        </w:rPr>
        <w:lastRenderedPageBreak/>
        <w:drawing>
          <wp:inline distT="0" distB="0" distL="0" distR="0" wp14:anchorId="2830C472" wp14:editId="75EB1430">
            <wp:extent cx="4541094" cy="2757268"/>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4">
                      <a:extLst>
                        <a:ext uri="{BEBA8EAE-BF5A-486C-A8C5-ECC9F3942E4B}">
                          <a14:imgProps xmlns:a14="http://schemas.microsoft.com/office/drawing/2010/main">
                            <a14:imgLayer r:embed="rId25">
                              <a14:imgEffect>
                                <a14:brightnessContrast contrast="-18000"/>
                              </a14:imgEffect>
                            </a14:imgLayer>
                          </a14:imgProps>
                        </a:ext>
                      </a:extLst>
                    </a:blip>
                    <a:srcRect l="8163" t="26528" r="13863" b="14289"/>
                    <a:stretch/>
                  </pic:blipFill>
                  <pic:spPr bwMode="auto">
                    <a:xfrm>
                      <a:off x="0" y="0"/>
                      <a:ext cx="4662165" cy="2830780"/>
                    </a:xfrm>
                    <a:prstGeom prst="rect">
                      <a:avLst/>
                    </a:prstGeom>
                    <a:ln>
                      <a:noFill/>
                    </a:ln>
                    <a:extLst>
                      <a:ext uri="{53640926-AAD7-44D8-BBD7-CCE9431645EC}">
                        <a14:shadowObscured xmlns:a14="http://schemas.microsoft.com/office/drawing/2010/main"/>
                      </a:ext>
                    </a:extLst>
                  </pic:spPr>
                </pic:pic>
              </a:graphicData>
            </a:graphic>
          </wp:inline>
        </w:drawing>
      </w:r>
    </w:p>
    <w:p w14:paraId="5CE4151F" w14:textId="4CA0F69D" w:rsidR="00B93F24" w:rsidRDefault="00067AA4" w:rsidP="0040707F">
      <w:pPr>
        <w:spacing w:after="120" w:line="264" w:lineRule="auto"/>
        <w:rPr>
          <w:rFonts w:eastAsia="Times New Roman"/>
          <w:noProof/>
          <w:lang w:val="en-US" w:eastAsia="en-GB"/>
        </w:rPr>
      </w:pPr>
      <w:r w:rsidRPr="2901A276">
        <w:rPr>
          <w:rFonts w:eastAsia="Times New Roman"/>
          <w:noProof/>
          <w:lang w:val="en-US" w:eastAsia="en-GB"/>
        </w:rPr>
        <w:t xml:space="preserve">Significantly high turnover rates in Oxfordshire create a challenging picture for local adult social care employers. </w:t>
      </w:r>
      <w:r w:rsidR="0040707F" w:rsidRPr="2901A276">
        <w:rPr>
          <w:rFonts w:eastAsia="Times New Roman"/>
          <w:noProof/>
          <w:lang w:val="en-US" w:eastAsia="en-GB"/>
        </w:rPr>
        <w:t xml:space="preserve">The staff turnover rate </w:t>
      </w:r>
      <w:r w:rsidRPr="2901A276">
        <w:rPr>
          <w:rFonts w:eastAsia="Times New Roman"/>
          <w:noProof/>
          <w:lang w:val="en-US" w:eastAsia="en-GB"/>
        </w:rPr>
        <w:t xml:space="preserve">is </w:t>
      </w:r>
      <w:r w:rsidR="00B93F24" w:rsidRPr="2901A276">
        <w:rPr>
          <w:rFonts w:eastAsia="Times New Roman"/>
          <w:noProof/>
          <w:lang w:val="en-US" w:eastAsia="en-GB"/>
        </w:rPr>
        <w:t>higher in the independent sector (</w:t>
      </w:r>
      <w:r w:rsidR="00032FDF" w:rsidRPr="2901A276">
        <w:rPr>
          <w:rFonts w:eastAsia="Times New Roman"/>
          <w:noProof/>
          <w:lang w:val="en-US" w:eastAsia="en-GB"/>
        </w:rPr>
        <w:t>4</w:t>
      </w:r>
      <w:r w:rsidR="6F8A2F38" w:rsidRPr="2901A276">
        <w:rPr>
          <w:rFonts w:eastAsia="Times New Roman"/>
          <w:noProof/>
          <w:lang w:val="en-US" w:eastAsia="en-GB"/>
        </w:rPr>
        <w:t>0.</w:t>
      </w:r>
      <w:r w:rsidR="00032FDF" w:rsidRPr="2901A276">
        <w:rPr>
          <w:rFonts w:eastAsia="Times New Roman"/>
          <w:noProof/>
          <w:lang w:val="en-US" w:eastAsia="en-GB"/>
        </w:rPr>
        <w:t>7</w:t>
      </w:r>
      <w:r w:rsidR="1F84A8E9" w:rsidRPr="2901A276">
        <w:rPr>
          <w:rFonts w:eastAsia="Times New Roman"/>
          <w:noProof/>
          <w:lang w:val="en-US" w:eastAsia="en-GB"/>
        </w:rPr>
        <w:t>%</w:t>
      </w:r>
      <w:r w:rsidR="00B93F24" w:rsidRPr="2901A276">
        <w:rPr>
          <w:rFonts w:eastAsia="Times New Roman"/>
          <w:noProof/>
          <w:lang w:val="en-US" w:eastAsia="en-GB"/>
        </w:rPr>
        <w:t>)</w:t>
      </w:r>
      <w:r w:rsidR="00323794" w:rsidRPr="2901A276">
        <w:rPr>
          <w:rFonts w:eastAsia="Times New Roman"/>
          <w:noProof/>
          <w:lang w:val="en-US" w:eastAsia="en-GB"/>
        </w:rPr>
        <w:t xml:space="preserve"> </w:t>
      </w:r>
      <w:r w:rsidR="00B93F24" w:rsidRPr="2901A276">
        <w:rPr>
          <w:rFonts w:eastAsia="Times New Roman"/>
          <w:noProof/>
          <w:lang w:val="en-US" w:eastAsia="en-GB"/>
        </w:rPr>
        <w:t>than in the local authority (</w:t>
      </w:r>
      <w:r w:rsidR="534E681F" w:rsidRPr="2901A276">
        <w:rPr>
          <w:rFonts w:eastAsia="Times New Roman"/>
          <w:noProof/>
          <w:lang w:val="en-US" w:eastAsia="en-GB"/>
        </w:rPr>
        <w:t>12.2</w:t>
      </w:r>
      <w:r w:rsidR="00B93F24" w:rsidRPr="2901A276">
        <w:rPr>
          <w:rFonts w:eastAsia="Times New Roman"/>
          <w:noProof/>
          <w:lang w:val="en-US" w:eastAsia="en-GB"/>
        </w:rPr>
        <w:t>%)</w:t>
      </w:r>
      <w:r w:rsidR="00323794" w:rsidRPr="2901A276">
        <w:rPr>
          <w:rFonts w:eastAsia="Times New Roman"/>
          <w:noProof/>
          <w:lang w:val="en-US" w:eastAsia="en-GB"/>
        </w:rPr>
        <w:t xml:space="preserve"> </w:t>
      </w:r>
      <w:r w:rsidR="00B93F24" w:rsidRPr="2901A276">
        <w:rPr>
          <w:rFonts w:eastAsia="Times New Roman"/>
          <w:noProof/>
          <w:lang w:val="en-US" w:eastAsia="en-GB"/>
        </w:rPr>
        <w:t xml:space="preserve">and </w:t>
      </w:r>
      <w:r w:rsidR="007C757D" w:rsidRPr="2901A276">
        <w:rPr>
          <w:rFonts w:eastAsia="Times New Roman"/>
          <w:noProof/>
          <w:lang w:val="en-US" w:eastAsia="en-GB"/>
        </w:rPr>
        <w:t>significantly higher than the national average</w:t>
      </w:r>
      <w:r w:rsidR="00B93F24" w:rsidRPr="2901A276">
        <w:rPr>
          <w:rFonts w:eastAsia="Times New Roman"/>
          <w:noProof/>
          <w:lang w:val="en-US" w:eastAsia="en-GB"/>
        </w:rPr>
        <w:t xml:space="preserve"> for the whole sector</w:t>
      </w:r>
      <w:r w:rsidR="00032FDF" w:rsidRPr="2901A276">
        <w:rPr>
          <w:rFonts w:eastAsia="Times New Roman"/>
          <w:noProof/>
          <w:lang w:val="en-US" w:eastAsia="en-GB"/>
        </w:rPr>
        <w:t xml:space="preserve"> </w:t>
      </w:r>
      <w:r w:rsidR="00C4332A" w:rsidRPr="2901A276">
        <w:rPr>
          <w:rFonts w:eastAsia="Times New Roman"/>
          <w:noProof/>
          <w:lang w:val="en-US" w:eastAsia="en-GB"/>
        </w:rPr>
        <w:t>28.3 %  (30</w:t>
      </w:r>
      <w:r w:rsidR="00032FDF" w:rsidRPr="2901A276">
        <w:rPr>
          <w:rFonts w:eastAsia="Times New Roman"/>
          <w:noProof/>
          <w:lang w:val="en-US" w:eastAsia="en-GB"/>
        </w:rPr>
        <w:t>.4</w:t>
      </w:r>
      <w:r w:rsidR="00C4332A" w:rsidRPr="2901A276">
        <w:rPr>
          <w:rFonts w:eastAsia="Times New Roman"/>
          <w:noProof/>
          <w:lang w:val="en-US" w:eastAsia="en-GB"/>
        </w:rPr>
        <w:t>% independent sector)</w:t>
      </w:r>
      <w:r w:rsidR="007C757D" w:rsidRPr="2901A276">
        <w:rPr>
          <w:rFonts w:eastAsia="Times New Roman"/>
          <w:noProof/>
          <w:lang w:val="en-US" w:eastAsia="en-GB"/>
        </w:rPr>
        <w:t xml:space="preserve">. </w:t>
      </w:r>
      <w:r w:rsidR="00B93F24" w:rsidRPr="2901A276">
        <w:rPr>
          <w:rFonts w:eastAsia="Times New Roman"/>
          <w:noProof/>
          <w:lang w:val="en-US" w:eastAsia="en-GB"/>
        </w:rPr>
        <w:t>This is a particularly challenging figure when considered alongside the approaching retirement of the 15% of our workforce who are above the age of 60</w:t>
      </w:r>
      <w:r w:rsidR="00C4332A" w:rsidRPr="2901A276">
        <w:rPr>
          <w:rFonts w:eastAsia="Times New Roman"/>
          <w:noProof/>
          <w:lang w:val="en-US" w:eastAsia="en-GB"/>
        </w:rPr>
        <w:t xml:space="preserve"> (38% + 55)</w:t>
      </w:r>
      <w:r w:rsidR="00B93F24" w:rsidRPr="2901A276">
        <w:rPr>
          <w:rFonts w:eastAsia="Times New Roman"/>
          <w:noProof/>
          <w:lang w:val="en-US" w:eastAsia="en-GB"/>
        </w:rPr>
        <w:t>.</w:t>
      </w:r>
      <w:r w:rsidRPr="2901A276">
        <w:rPr>
          <w:rFonts w:eastAsia="Times New Roman"/>
          <w:noProof/>
          <w:lang w:val="en-US" w:eastAsia="en-GB"/>
        </w:rPr>
        <w:t xml:space="preserve"> Attraction and recruitment efforts need to focus on, and appeal to, younger people.</w:t>
      </w:r>
    </w:p>
    <w:p w14:paraId="3B41D3BC" w14:textId="0190F1AD" w:rsidR="0040707F" w:rsidRDefault="00067AA4" w:rsidP="0040707F">
      <w:pPr>
        <w:spacing w:after="120" w:line="264" w:lineRule="auto"/>
        <w:rPr>
          <w:rFonts w:eastAsia="Times New Roman"/>
          <w:noProof/>
          <w:lang w:val="en-US" w:eastAsia="en-GB"/>
        </w:rPr>
      </w:pPr>
      <w:r>
        <w:rPr>
          <w:rFonts w:eastAsia="Times New Roman"/>
          <w:noProof/>
          <w:lang w:val="en-US" w:eastAsia="en-GB"/>
        </w:rPr>
        <w:t>Once</w:t>
      </w:r>
      <w:r w:rsidR="00B93F24">
        <w:rPr>
          <w:rFonts w:eastAsia="Times New Roman"/>
          <w:noProof/>
          <w:lang w:val="en-US" w:eastAsia="en-GB"/>
        </w:rPr>
        <w:t xml:space="preserve"> </w:t>
      </w:r>
      <w:r>
        <w:rPr>
          <w:rFonts w:eastAsia="Times New Roman"/>
          <w:noProof/>
          <w:lang w:val="en-US" w:eastAsia="en-GB"/>
        </w:rPr>
        <w:t>people</w:t>
      </w:r>
      <w:r w:rsidR="00B93F24">
        <w:rPr>
          <w:rFonts w:eastAsia="Times New Roman"/>
          <w:noProof/>
          <w:lang w:val="en-US" w:eastAsia="en-GB"/>
        </w:rPr>
        <w:t xml:space="preserve"> are part of our sector, </w:t>
      </w:r>
      <w:r>
        <w:rPr>
          <w:rFonts w:eastAsia="Times New Roman"/>
          <w:noProof/>
          <w:lang w:val="en-US" w:eastAsia="en-GB"/>
        </w:rPr>
        <w:t>they</w:t>
      </w:r>
      <w:r w:rsidR="00DD7DD6">
        <w:rPr>
          <w:rFonts w:eastAsia="Times New Roman"/>
          <w:noProof/>
          <w:lang w:val="en-US" w:eastAsia="en-GB"/>
        </w:rPr>
        <w:t xml:space="preserve"> seem</w:t>
      </w:r>
      <w:r w:rsidR="0069728A">
        <w:rPr>
          <w:rFonts w:eastAsia="Times New Roman"/>
          <w:noProof/>
          <w:lang w:val="en-US" w:eastAsia="en-GB"/>
        </w:rPr>
        <w:t xml:space="preserve"> likely</w:t>
      </w:r>
      <w:r w:rsidR="00DD7DD6">
        <w:rPr>
          <w:rFonts w:eastAsia="Times New Roman"/>
          <w:noProof/>
          <w:lang w:val="en-US" w:eastAsia="en-GB"/>
        </w:rPr>
        <w:t xml:space="preserve"> to stay</w:t>
      </w:r>
      <w:r>
        <w:rPr>
          <w:rFonts w:eastAsia="Times New Roman"/>
          <w:noProof/>
          <w:lang w:val="en-US" w:eastAsia="en-GB"/>
        </w:rPr>
        <w:t xml:space="preserve">, </w:t>
      </w:r>
      <w:r w:rsidR="0069728A">
        <w:rPr>
          <w:rFonts w:eastAsia="Times New Roman"/>
          <w:noProof/>
          <w:lang w:val="en-US" w:eastAsia="en-GB"/>
        </w:rPr>
        <w:t>with</w:t>
      </w:r>
      <w:r w:rsidR="00B67620">
        <w:rPr>
          <w:rFonts w:eastAsia="Times New Roman"/>
          <w:noProof/>
          <w:lang w:val="en-US" w:eastAsia="en-GB"/>
        </w:rPr>
        <w:t xml:space="preserve"> 59%</w:t>
      </w:r>
      <w:r w:rsidR="00DD7DD6">
        <w:rPr>
          <w:rFonts w:eastAsia="Times New Roman"/>
          <w:noProof/>
          <w:lang w:val="en-US" w:eastAsia="en-GB"/>
        </w:rPr>
        <w:t xml:space="preserve"> </w:t>
      </w:r>
      <w:r w:rsidR="00DD7DD6" w:rsidRPr="00CE2940">
        <w:rPr>
          <w:rFonts w:eastAsia="Times New Roman"/>
          <w:noProof/>
          <w:lang w:val="en-US" w:eastAsia="en-GB"/>
        </w:rPr>
        <w:t xml:space="preserve">of </w:t>
      </w:r>
      <w:r w:rsidRPr="00CE2940">
        <w:rPr>
          <w:rFonts w:eastAsia="Times New Roman"/>
          <w:noProof/>
          <w:lang w:val="en-US" w:eastAsia="en-GB"/>
        </w:rPr>
        <w:t xml:space="preserve">new starters </w:t>
      </w:r>
      <w:r w:rsidR="00DD7DD6" w:rsidRPr="00CE2940">
        <w:rPr>
          <w:rFonts w:eastAsia="Times New Roman"/>
          <w:noProof/>
          <w:lang w:val="en-US" w:eastAsia="en-GB"/>
        </w:rPr>
        <w:t>rec</w:t>
      </w:r>
      <w:r w:rsidR="00B93F24" w:rsidRPr="00CE2940">
        <w:rPr>
          <w:rFonts w:eastAsia="Times New Roman"/>
          <w:noProof/>
          <w:lang w:val="en-US" w:eastAsia="en-GB"/>
        </w:rPr>
        <w:t>r</w:t>
      </w:r>
      <w:r w:rsidR="00DD7DD6" w:rsidRPr="00CE2940">
        <w:rPr>
          <w:rFonts w:eastAsia="Times New Roman"/>
          <w:noProof/>
          <w:lang w:val="en-US" w:eastAsia="en-GB"/>
        </w:rPr>
        <w:t>uited from within the</w:t>
      </w:r>
      <w:r w:rsidR="00DD7DD6">
        <w:rPr>
          <w:rFonts w:eastAsia="Times New Roman"/>
          <w:noProof/>
          <w:lang w:val="en-US" w:eastAsia="en-GB"/>
        </w:rPr>
        <w:t xml:space="preserve"> adult social care secto</w:t>
      </w:r>
      <w:r>
        <w:rPr>
          <w:rFonts w:eastAsia="Times New Roman"/>
          <w:noProof/>
          <w:lang w:val="en-US" w:eastAsia="en-GB"/>
        </w:rPr>
        <w:t xml:space="preserve">r. </w:t>
      </w:r>
      <w:r w:rsidR="0069728A">
        <w:rPr>
          <w:rFonts w:eastAsia="Times New Roman"/>
          <w:noProof/>
          <w:lang w:val="en-US" w:eastAsia="en-GB"/>
        </w:rPr>
        <w:t>Care p</w:t>
      </w:r>
      <w:r>
        <w:rPr>
          <w:rFonts w:eastAsia="Times New Roman"/>
          <w:noProof/>
          <w:lang w:val="en-US" w:eastAsia="en-GB"/>
        </w:rPr>
        <w:t xml:space="preserve">roviders anecdotally report that frontline care workers are often tempted to move to a new employer for the sake of a small increase in hourly rate, and attraction bonuses can create a “carousel” effect of workers moving around, which </w:t>
      </w:r>
      <w:r w:rsidR="0069728A">
        <w:rPr>
          <w:rFonts w:eastAsia="Times New Roman"/>
          <w:noProof/>
          <w:lang w:val="en-US" w:eastAsia="en-GB"/>
        </w:rPr>
        <w:t xml:space="preserve">disrupts services providerd and </w:t>
      </w:r>
      <w:r>
        <w:rPr>
          <w:rFonts w:eastAsia="Times New Roman"/>
          <w:noProof/>
          <w:lang w:val="en-US" w:eastAsia="en-GB"/>
        </w:rPr>
        <w:t>has implications for the people we support and their experiences of receiving care.</w:t>
      </w:r>
    </w:p>
    <w:p w14:paraId="7297A664" w14:textId="0F267CE5" w:rsidR="00835578" w:rsidRPr="002D7955" w:rsidRDefault="00835578" w:rsidP="00CA75F2">
      <w:pPr>
        <w:spacing w:after="120" w:line="276" w:lineRule="auto"/>
        <w:rPr>
          <w:rFonts w:eastAsia="Times New Roman"/>
          <w:b/>
          <w:bCs/>
          <w:lang w:eastAsia="en-GB"/>
        </w:rPr>
      </w:pPr>
      <w:bookmarkStart w:id="4" w:name="_Hlk132895348"/>
      <w:r w:rsidRPr="002D7955">
        <w:rPr>
          <w:rFonts w:eastAsia="Times New Roman"/>
          <w:b/>
          <w:bCs/>
          <w:lang w:eastAsia="en-GB"/>
        </w:rPr>
        <w:t xml:space="preserve">National: </w:t>
      </w:r>
    </w:p>
    <w:p w14:paraId="3431993F" w14:textId="74476918" w:rsidR="00CA75F2" w:rsidRPr="00E2149B" w:rsidRDefault="00CA75F2" w:rsidP="00CA75F2">
      <w:pPr>
        <w:spacing w:after="120" w:line="276" w:lineRule="auto"/>
        <w:rPr>
          <w:rFonts w:eastAsia="Times New Roman"/>
          <w:noProof/>
          <w:lang w:val="en-US" w:eastAsia="en-GB"/>
        </w:rPr>
      </w:pPr>
      <w:r w:rsidRPr="00E2149B">
        <w:rPr>
          <w:rFonts w:eastAsia="Times New Roman"/>
          <w:lang w:eastAsia="en-GB"/>
        </w:rPr>
        <w:t xml:space="preserve">A recent report by the </w:t>
      </w:r>
      <w:hyperlink r:id="rId26">
        <w:r w:rsidRPr="00E2149B">
          <w:rPr>
            <w:rFonts w:eastAsia="Times New Roman"/>
            <w:u w:val="single"/>
            <w:lang w:eastAsia="en-GB"/>
          </w:rPr>
          <w:t>Migration Advisory Committee</w:t>
        </w:r>
      </w:hyperlink>
      <w:r w:rsidRPr="00E2149B">
        <w:rPr>
          <w:rFonts w:eastAsia="Times New Roman"/>
          <w:lang w:eastAsia="en-GB"/>
        </w:rPr>
        <w:t xml:space="preserve"> (MAC, 2022) provides a thorough review of</w:t>
      </w:r>
      <w:r w:rsidR="0069728A">
        <w:rPr>
          <w:rFonts w:eastAsia="Times New Roman"/>
          <w:lang w:eastAsia="en-GB"/>
        </w:rPr>
        <w:t xml:space="preserve"> social care</w:t>
      </w:r>
      <w:r w:rsidRPr="00E2149B">
        <w:rPr>
          <w:rFonts w:eastAsia="Times New Roman"/>
          <w:lang w:eastAsia="en-GB"/>
        </w:rPr>
        <w:t xml:space="preserve"> </w:t>
      </w:r>
      <w:r w:rsidR="0069728A">
        <w:rPr>
          <w:rFonts w:eastAsia="Times New Roman"/>
          <w:lang w:eastAsia="en-GB"/>
        </w:rPr>
        <w:t>workforce challenges</w:t>
      </w:r>
      <w:r w:rsidRPr="00E2149B">
        <w:rPr>
          <w:rFonts w:eastAsia="Times New Roman"/>
          <w:lang w:eastAsia="en-GB"/>
        </w:rPr>
        <w:t xml:space="preserve"> at the national level. In Oxfordshire, we recognise many of the national issues cited in the MAC report including:</w:t>
      </w:r>
    </w:p>
    <w:p w14:paraId="0206CA08" w14:textId="57F2A5BE" w:rsidR="00CA75F2" w:rsidRPr="00E2149B" w:rsidRDefault="00CA75F2" w:rsidP="00A33897">
      <w:pPr>
        <w:numPr>
          <w:ilvl w:val="0"/>
          <w:numId w:val="3"/>
        </w:numPr>
        <w:spacing w:after="120" w:line="264" w:lineRule="auto"/>
        <w:contextualSpacing/>
        <w:rPr>
          <w:rFonts w:eastAsia="Calibri"/>
          <w:lang w:eastAsia="en-GB"/>
        </w:rPr>
      </w:pPr>
      <w:r w:rsidRPr="00E2149B">
        <w:rPr>
          <w:rFonts w:eastAsia="Calibri"/>
          <w:lang w:eastAsia="en-GB"/>
        </w:rPr>
        <w:lastRenderedPageBreak/>
        <w:t xml:space="preserve">Impact of Brexit. </w:t>
      </w:r>
      <w:r w:rsidRPr="00E2149B">
        <w:rPr>
          <w:rFonts w:eastAsia="Calibri"/>
          <w:shd w:val="clear" w:color="auto" w:fill="FFFFFF"/>
          <w:lang w:eastAsia="en-GB"/>
        </w:rPr>
        <w:t xml:space="preserve"> Although there is no universal dataset that links migrants’ immigration status with their employment, anecdotal reports from industry experts suggest </w:t>
      </w:r>
      <w:r w:rsidRPr="00E2149B">
        <w:rPr>
          <w:rFonts w:eastAsia="Calibri"/>
          <w:lang w:eastAsia="en-GB"/>
        </w:rPr>
        <w:t>a significant proportion of frontline workforce were sourced from the EU, especially Portugal and Spain.</w:t>
      </w:r>
    </w:p>
    <w:p w14:paraId="4CE88A20" w14:textId="6B770D01" w:rsidR="00CA75F2" w:rsidRPr="00E2149B" w:rsidRDefault="00CA75F2" w:rsidP="00A33897">
      <w:pPr>
        <w:numPr>
          <w:ilvl w:val="0"/>
          <w:numId w:val="2"/>
        </w:numPr>
        <w:spacing w:after="120" w:line="264" w:lineRule="auto"/>
        <w:contextualSpacing/>
        <w:rPr>
          <w:rFonts w:eastAsia="Calibri"/>
          <w:lang w:eastAsia="en-GB"/>
        </w:rPr>
      </w:pPr>
      <w:r w:rsidRPr="00E2149B">
        <w:rPr>
          <w:rFonts w:eastAsia="Calibri"/>
          <w:lang w:eastAsia="en-GB"/>
        </w:rPr>
        <w:t xml:space="preserve">Post-Brexit, international recruitment via the care worker visa programme is </w:t>
      </w:r>
      <w:r w:rsidRPr="00E2149B">
        <w:t>complicated. The</w:t>
      </w:r>
      <w:r w:rsidRPr="00E2149B">
        <w:rPr>
          <w:rFonts w:eastAsia="Calibri"/>
          <w:shd w:val="clear" w:color="auto" w:fill="FFFFFF"/>
          <w:lang w:eastAsia="en-GB"/>
        </w:rPr>
        <w:t xml:space="preserve"> Skilled Worker route </w:t>
      </w:r>
      <w:r w:rsidR="0069728A">
        <w:rPr>
          <w:rFonts w:eastAsia="Calibri"/>
          <w:shd w:val="clear" w:color="auto" w:fill="FFFFFF"/>
          <w:lang w:eastAsia="en-GB"/>
        </w:rPr>
        <w:t>–</w:t>
      </w:r>
      <w:r w:rsidRPr="00E2149B">
        <w:rPr>
          <w:rFonts w:eastAsia="Calibri"/>
          <w:shd w:val="clear" w:color="auto" w:fill="FFFFFF"/>
          <w:lang w:eastAsia="en-GB"/>
        </w:rPr>
        <w:t xml:space="preserve"> called the </w:t>
      </w:r>
      <w:hyperlink r:id="rId27" w:history="1">
        <w:r w:rsidRPr="00E2149B">
          <w:rPr>
            <w:rFonts w:eastAsia="Calibri"/>
            <w:u w:val="single"/>
            <w:shd w:val="clear" w:color="auto" w:fill="FFFFFF"/>
            <w:lang w:eastAsia="en-GB"/>
          </w:rPr>
          <w:t>Health &amp; Care Worker visa</w:t>
        </w:r>
      </w:hyperlink>
      <w:r w:rsidRPr="00E2149B">
        <w:rPr>
          <w:rFonts w:eastAsia="Calibri"/>
          <w:shd w:val="clear" w:color="auto" w:fill="FFFFFF"/>
          <w:lang w:eastAsia="en-GB"/>
        </w:rPr>
        <w:t xml:space="preserve"> for the subset of occupations in health and social care </w:t>
      </w:r>
      <w:r w:rsidR="0069728A">
        <w:rPr>
          <w:rFonts w:eastAsia="Calibri"/>
          <w:shd w:val="clear" w:color="auto" w:fill="FFFFFF"/>
          <w:lang w:eastAsia="en-GB"/>
        </w:rPr>
        <w:t>–</w:t>
      </w:r>
      <w:r w:rsidRPr="00E2149B">
        <w:rPr>
          <w:rFonts w:eastAsia="Calibri"/>
          <w:shd w:val="clear" w:color="auto" w:fill="FFFFFF"/>
          <w:lang w:eastAsia="en-GB"/>
        </w:rPr>
        <w:t xml:space="preserve"> is the most direct route into the social care workforce. </w:t>
      </w:r>
      <w:r w:rsidR="002E2268">
        <w:rPr>
          <w:rFonts w:eastAsia="Calibri"/>
          <w:shd w:val="clear" w:color="auto" w:fill="FFFFFF"/>
          <w:lang w:eastAsia="en-GB"/>
        </w:rPr>
        <w:t>We continue to see proposed changes in international recruitment which create uncertainty in the workforce.</w:t>
      </w:r>
    </w:p>
    <w:p w14:paraId="14C11A50" w14:textId="3D27CE62" w:rsidR="00CA75F2" w:rsidRDefault="00CA75F2" w:rsidP="00A33897">
      <w:pPr>
        <w:numPr>
          <w:ilvl w:val="0"/>
          <w:numId w:val="2"/>
        </w:numPr>
        <w:spacing w:after="120" w:line="276" w:lineRule="auto"/>
        <w:contextualSpacing/>
        <w:rPr>
          <w:rFonts w:eastAsia="Calibri"/>
          <w:lang w:eastAsia="en-GB"/>
        </w:rPr>
      </w:pPr>
      <w:r w:rsidRPr="00E2149B">
        <w:rPr>
          <w:rFonts w:eastAsia="Calibri"/>
          <w:lang w:eastAsia="en-GB"/>
        </w:rPr>
        <w:t>The workforce reports feeling exhausted and demoralised after the COVID pandemic</w:t>
      </w:r>
    </w:p>
    <w:p w14:paraId="5DC7E816" w14:textId="5C2EA4D2" w:rsidR="002E2268" w:rsidRPr="00E2149B" w:rsidRDefault="002E2268" w:rsidP="00A33897">
      <w:pPr>
        <w:numPr>
          <w:ilvl w:val="0"/>
          <w:numId w:val="2"/>
        </w:numPr>
        <w:spacing w:after="120" w:line="276" w:lineRule="auto"/>
        <w:contextualSpacing/>
        <w:rPr>
          <w:rFonts w:eastAsia="Calibri"/>
          <w:lang w:eastAsia="en-GB"/>
        </w:rPr>
      </w:pPr>
      <w:r>
        <w:rPr>
          <w:rFonts w:eastAsia="Calibri"/>
          <w:lang w:eastAsia="en-GB"/>
        </w:rPr>
        <w:t xml:space="preserve">The </w:t>
      </w:r>
      <w:proofErr w:type="gramStart"/>
      <w:r>
        <w:rPr>
          <w:rFonts w:eastAsia="Calibri"/>
          <w:lang w:eastAsia="en-GB"/>
        </w:rPr>
        <w:t>cost of living</w:t>
      </w:r>
      <w:proofErr w:type="gramEnd"/>
      <w:r>
        <w:rPr>
          <w:rFonts w:eastAsia="Calibri"/>
          <w:lang w:eastAsia="en-GB"/>
        </w:rPr>
        <w:t xml:space="preserve"> crisis continues to have a significant impact on the workforce </w:t>
      </w:r>
    </w:p>
    <w:p w14:paraId="5EDDBBBE" w14:textId="7DF751BE" w:rsidR="00CA75F2" w:rsidRPr="00E2149B" w:rsidRDefault="00CA75F2" w:rsidP="00A33897">
      <w:pPr>
        <w:numPr>
          <w:ilvl w:val="0"/>
          <w:numId w:val="2"/>
        </w:numPr>
        <w:spacing w:after="120" w:line="276" w:lineRule="auto"/>
        <w:contextualSpacing/>
        <w:rPr>
          <w:rFonts w:eastAsia="Calibri"/>
          <w:lang w:eastAsia="en-GB"/>
        </w:rPr>
      </w:pPr>
      <w:r w:rsidRPr="00E2149B">
        <w:rPr>
          <w:rFonts w:eastAsia="Calibri"/>
          <w:lang w:eastAsia="en-GB"/>
        </w:rPr>
        <w:t xml:space="preserve">Shift patterns in the external sector </w:t>
      </w:r>
      <w:r w:rsidR="00522771" w:rsidRPr="00E2149B">
        <w:rPr>
          <w:rFonts w:eastAsia="Calibri"/>
          <w:lang w:eastAsia="en-GB"/>
        </w:rPr>
        <w:t xml:space="preserve">can </w:t>
      </w:r>
      <w:r w:rsidRPr="00E2149B">
        <w:rPr>
          <w:rFonts w:eastAsia="Calibri"/>
          <w:lang w:eastAsia="en-GB"/>
        </w:rPr>
        <w:t xml:space="preserve">create barriers for part time workers </w:t>
      </w:r>
      <w:r w:rsidR="00A4772A" w:rsidRPr="00E2149B">
        <w:rPr>
          <w:rFonts w:eastAsia="Calibri"/>
          <w:lang w:eastAsia="en-GB"/>
        </w:rPr>
        <w:t xml:space="preserve">such as </w:t>
      </w:r>
      <w:r w:rsidRPr="00E2149B">
        <w:rPr>
          <w:rFonts w:eastAsia="Calibri"/>
          <w:lang w:eastAsia="en-GB"/>
        </w:rPr>
        <w:t>working parents</w:t>
      </w:r>
    </w:p>
    <w:p w14:paraId="7B7858DD" w14:textId="6AAF5C4A" w:rsidR="00CA75F2" w:rsidRPr="00E2149B" w:rsidRDefault="00CA75F2" w:rsidP="00A33897">
      <w:pPr>
        <w:numPr>
          <w:ilvl w:val="0"/>
          <w:numId w:val="2"/>
        </w:numPr>
        <w:spacing w:after="120" w:line="276" w:lineRule="auto"/>
        <w:contextualSpacing/>
        <w:rPr>
          <w:rFonts w:eastAsia="Calibri"/>
          <w:lang w:eastAsia="en-GB"/>
        </w:rPr>
      </w:pPr>
      <w:r w:rsidRPr="00E2149B">
        <w:rPr>
          <w:rFonts w:eastAsia="Calibri"/>
          <w:lang w:eastAsia="en-GB"/>
        </w:rPr>
        <w:t>In many cases our workforce is paid relatively low wages, for what can be a challenging job</w:t>
      </w:r>
      <w:r w:rsidR="0069728A">
        <w:rPr>
          <w:rFonts w:eastAsia="Calibri"/>
          <w:lang w:eastAsia="en-GB"/>
        </w:rPr>
        <w:t xml:space="preserve">. </w:t>
      </w:r>
      <w:r w:rsidRPr="00E2149B">
        <w:rPr>
          <w:rFonts w:eastAsia="Calibri"/>
          <w:lang w:eastAsia="en-GB"/>
        </w:rPr>
        <w:t xml:space="preserve"> </w:t>
      </w:r>
    </w:p>
    <w:p w14:paraId="52F60541" w14:textId="337EBEF6" w:rsidR="00CA75F2" w:rsidRPr="00E2149B" w:rsidRDefault="00CA75F2" w:rsidP="007D5893">
      <w:pPr>
        <w:numPr>
          <w:ilvl w:val="0"/>
          <w:numId w:val="2"/>
        </w:numPr>
        <w:spacing w:after="120" w:line="276" w:lineRule="auto"/>
        <w:contextualSpacing/>
        <w:rPr>
          <w:rFonts w:eastAsia="Calibri"/>
          <w:lang w:eastAsia="en-GB"/>
        </w:rPr>
      </w:pPr>
      <w:r w:rsidRPr="00E2149B">
        <w:rPr>
          <w:rFonts w:eastAsia="Calibri"/>
          <w:lang w:eastAsia="en-GB"/>
        </w:rPr>
        <w:t>Conditions of employment such as pension and other benefits tend to be less attractive for the external workforce employed in the independent sector when compared to the internal workforce employed by the Council</w:t>
      </w:r>
      <w:r w:rsidR="00522771" w:rsidRPr="00E2149B">
        <w:rPr>
          <w:rFonts w:eastAsia="Calibri"/>
          <w:lang w:eastAsia="en-GB"/>
        </w:rPr>
        <w:t xml:space="preserve"> (or NHS employers)</w:t>
      </w:r>
    </w:p>
    <w:p w14:paraId="433468E7" w14:textId="77777777" w:rsidR="00CA75F2" w:rsidRPr="00E2149B" w:rsidRDefault="00CA75F2" w:rsidP="007D5893">
      <w:pPr>
        <w:numPr>
          <w:ilvl w:val="0"/>
          <w:numId w:val="2"/>
        </w:numPr>
        <w:spacing w:after="120" w:line="276" w:lineRule="auto"/>
        <w:contextualSpacing/>
        <w:rPr>
          <w:rFonts w:eastAsia="Calibri"/>
          <w:lang w:eastAsia="en-GB"/>
        </w:rPr>
      </w:pPr>
      <w:r w:rsidRPr="00E2149B">
        <w:rPr>
          <w:rFonts w:eastAsia="Calibri"/>
          <w:lang w:eastAsia="en-GB"/>
        </w:rPr>
        <w:t>Social care roles in the external sector are perceived to be unskilled or undesirable jobs with little career progression.</w:t>
      </w:r>
    </w:p>
    <w:p w14:paraId="4CA93B09" w14:textId="77777777" w:rsidR="00CA75F2" w:rsidRPr="00E2149B" w:rsidRDefault="00CA75F2" w:rsidP="00CA75F2">
      <w:pPr>
        <w:rPr>
          <w:rFonts w:eastAsia="Calibri"/>
          <w:lang w:eastAsia="en-GB"/>
        </w:rPr>
      </w:pPr>
    </w:p>
    <w:p w14:paraId="796666E9" w14:textId="62F17392" w:rsidR="00835578" w:rsidRDefault="00835578" w:rsidP="00CA75F2">
      <w:pPr>
        <w:contextualSpacing/>
        <w:rPr>
          <w:rFonts w:eastAsia="Calibri"/>
          <w:lang w:eastAsia="en-GB"/>
        </w:rPr>
      </w:pPr>
    </w:p>
    <w:p w14:paraId="63EB83F9" w14:textId="77777777" w:rsidR="000F5CAF" w:rsidRDefault="000F5CAF" w:rsidP="00CA75F2">
      <w:pPr>
        <w:contextualSpacing/>
        <w:rPr>
          <w:rFonts w:eastAsia="Calibri"/>
          <w:lang w:eastAsia="en-GB"/>
        </w:rPr>
      </w:pPr>
    </w:p>
    <w:p w14:paraId="0E00B715" w14:textId="6197585B" w:rsidR="00835578" w:rsidRPr="002D7955" w:rsidRDefault="00835578" w:rsidP="00CA75F2">
      <w:pPr>
        <w:contextualSpacing/>
        <w:rPr>
          <w:rFonts w:eastAsia="Calibri"/>
          <w:b/>
          <w:bCs/>
          <w:lang w:eastAsia="en-GB"/>
        </w:rPr>
      </w:pPr>
      <w:r w:rsidRPr="002D7955">
        <w:rPr>
          <w:rFonts w:eastAsia="Calibri"/>
          <w:b/>
          <w:bCs/>
          <w:lang w:eastAsia="en-GB"/>
        </w:rPr>
        <w:t xml:space="preserve">Local: </w:t>
      </w:r>
    </w:p>
    <w:p w14:paraId="062590C6" w14:textId="77777777" w:rsidR="000F5CAF" w:rsidRPr="002D7955" w:rsidRDefault="000F5CAF" w:rsidP="00CA75F2">
      <w:pPr>
        <w:contextualSpacing/>
        <w:rPr>
          <w:rFonts w:eastAsia="Calibri"/>
          <w:color w:val="FF0000"/>
          <w:lang w:eastAsia="en-GB"/>
        </w:rPr>
      </w:pPr>
    </w:p>
    <w:p w14:paraId="134AAF4D" w14:textId="45CABEA6" w:rsidR="00CA75F2" w:rsidRPr="00E2149B" w:rsidRDefault="00CA75F2" w:rsidP="00CA75F2">
      <w:pPr>
        <w:contextualSpacing/>
        <w:rPr>
          <w:rFonts w:eastAsia="Calibri"/>
          <w:lang w:eastAsia="en-GB"/>
        </w:rPr>
      </w:pPr>
      <w:r w:rsidRPr="00E2149B">
        <w:rPr>
          <w:rFonts w:eastAsia="Calibri"/>
          <w:lang w:eastAsia="en-GB"/>
        </w:rPr>
        <w:t>Locally we find the additional issues also have an impact:</w:t>
      </w:r>
    </w:p>
    <w:p w14:paraId="3333C715" w14:textId="77777777" w:rsidR="00CA75F2" w:rsidRPr="00E2149B" w:rsidRDefault="00CA75F2" w:rsidP="00CA75F2">
      <w:pPr>
        <w:ind w:left="720"/>
        <w:contextualSpacing/>
        <w:rPr>
          <w:rFonts w:eastAsia="Calibri"/>
          <w:lang w:eastAsia="en-GB"/>
        </w:rPr>
      </w:pPr>
    </w:p>
    <w:p w14:paraId="3E8AF4E7" w14:textId="28B6F943" w:rsidR="009F54B5" w:rsidRPr="00CE2940" w:rsidRDefault="00A4772A" w:rsidP="009F54B5">
      <w:pPr>
        <w:pStyle w:val="ListParagraph"/>
        <w:numPr>
          <w:ilvl w:val="0"/>
          <w:numId w:val="8"/>
        </w:numPr>
        <w:spacing w:after="120" w:line="276" w:lineRule="auto"/>
        <w:rPr>
          <w:rStyle w:val="normaltextrun"/>
          <w:shd w:val="clear" w:color="auto" w:fill="EDEBE9"/>
        </w:rPr>
      </w:pPr>
      <w:r w:rsidRPr="00E2149B">
        <w:rPr>
          <w:rFonts w:eastAsia="Calibri"/>
          <w:lang w:eastAsia="en-GB"/>
        </w:rPr>
        <w:t>We have a v</w:t>
      </w:r>
      <w:r w:rsidR="00CA75F2" w:rsidRPr="00E2149B">
        <w:rPr>
          <w:rFonts w:eastAsia="Calibri"/>
          <w:lang w:eastAsia="en-GB"/>
        </w:rPr>
        <w:t xml:space="preserve">ery high cost of </w:t>
      </w:r>
      <w:r w:rsidR="00A67375">
        <w:rPr>
          <w:rFonts w:eastAsia="Calibri"/>
          <w:lang w:eastAsia="en-GB"/>
        </w:rPr>
        <w:t>housing</w:t>
      </w:r>
      <w:r w:rsidR="00A67375" w:rsidRPr="00E2149B">
        <w:rPr>
          <w:rFonts w:eastAsia="Calibri"/>
          <w:lang w:eastAsia="en-GB"/>
        </w:rPr>
        <w:t xml:space="preserve"> </w:t>
      </w:r>
      <w:r w:rsidR="00CA75F2" w:rsidRPr="00E2149B">
        <w:rPr>
          <w:rFonts w:eastAsia="Calibri"/>
          <w:lang w:eastAsia="en-GB"/>
        </w:rPr>
        <w:t>in Oxfordshire</w:t>
      </w:r>
      <w:r w:rsidR="003C4900">
        <w:rPr>
          <w:rFonts w:eastAsia="Calibri"/>
          <w:lang w:eastAsia="en-GB"/>
        </w:rPr>
        <w:t xml:space="preserve">. </w:t>
      </w:r>
      <w:r w:rsidR="003C4900" w:rsidRPr="003C4900">
        <w:rPr>
          <w:rFonts w:eastAsia="Calibri"/>
          <w:lang w:eastAsia="en-GB"/>
        </w:rPr>
        <w:t>The Oxf</w:t>
      </w:r>
      <w:r w:rsidR="003C4900" w:rsidRPr="002E2268">
        <w:rPr>
          <w:rFonts w:eastAsia="Calibri"/>
          <w:lang w:eastAsia="en-GB"/>
        </w:rPr>
        <w:t xml:space="preserve">ordshire Joint Strategic Needs analysis (October 2022) records that the ratio of the cheapest market housing to lower earnings in Oxfordshire was 11 compared with 8 in England which suggests that it is less affordable to own a house in Oxfordshire. </w:t>
      </w:r>
      <w:r w:rsidR="003C4900">
        <w:rPr>
          <w:rFonts w:eastAsia="Calibri"/>
          <w:lang w:eastAsia="en-GB"/>
        </w:rPr>
        <w:t xml:space="preserve">The very high cost </w:t>
      </w:r>
      <w:r w:rsidR="68C8313E" w:rsidRPr="00E2149B">
        <w:rPr>
          <w:rStyle w:val="normaltextrun"/>
        </w:rPr>
        <w:t>of</w:t>
      </w:r>
      <w:r w:rsidRPr="00E2149B">
        <w:rPr>
          <w:rStyle w:val="normaltextrun"/>
        </w:rPr>
        <w:t xml:space="preserve"> renting or buying homes</w:t>
      </w:r>
      <w:r w:rsidR="298B231F" w:rsidRPr="00E2149B">
        <w:rPr>
          <w:rStyle w:val="normaltextrun"/>
        </w:rPr>
        <w:t xml:space="preserve"> limits </w:t>
      </w:r>
      <w:r w:rsidR="411BE485" w:rsidRPr="00E2149B">
        <w:rPr>
          <w:rStyle w:val="normaltextrun"/>
        </w:rPr>
        <w:t>the care sector’s</w:t>
      </w:r>
      <w:r w:rsidR="298B231F" w:rsidRPr="00E2149B">
        <w:rPr>
          <w:rStyle w:val="normaltextrun"/>
        </w:rPr>
        <w:t xml:space="preserve"> ability to </w:t>
      </w:r>
      <w:r w:rsidR="00A15476" w:rsidRPr="00E2149B">
        <w:rPr>
          <w:rStyle w:val="normaltextrun"/>
        </w:rPr>
        <w:t>attract recruits from other areas</w:t>
      </w:r>
      <w:r w:rsidRPr="00E2149B">
        <w:rPr>
          <w:rStyle w:val="normaltextrun"/>
        </w:rPr>
        <w:t>,</w:t>
      </w:r>
      <w:r w:rsidR="298B231F" w:rsidRPr="00E2149B">
        <w:rPr>
          <w:rStyle w:val="normaltextrun"/>
        </w:rPr>
        <w:t xml:space="preserve"> </w:t>
      </w:r>
      <w:r w:rsidR="64961B66" w:rsidRPr="00E2149B">
        <w:rPr>
          <w:rStyle w:val="normaltextrun"/>
        </w:rPr>
        <w:t xml:space="preserve">especially </w:t>
      </w:r>
      <w:r w:rsidR="298B231F" w:rsidRPr="00E2149B">
        <w:rPr>
          <w:rStyle w:val="normaltextrun"/>
        </w:rPr>
        <w:t>to entry-level posts. Coupled with this, there are not many opportunit</w:t>
      </w:r>
      <w:r w:rsidR="08DD95B8" w:rsidRPr="00E2149B">
        <w:rPr>
          <w:rStyle w:val="normaltextrun"/>
        </w:rPr>
        <w:t xml:space="preserve">ies for key worker </w:t>
      </w:r>
      <w:r w:rsidR="009062C6" w:rsidRPr="00E2149B">
        <w:rPr>
          <w:rStyle w:val="normaltextrun"/>
        </w:rPr>
        <w:t>housing</w:t>
      </w:r>
      <w:r w:rsidR="6DDBE91C" w:rsidRPr="00E2149B">
        <w:rPr>
          <w:rStyle w:val="normaltextrun"/>
        </w:rPr>
        <w:t xml:space="preserve"> locally</w:t>
      </w:r>
      <w:r w:rsidRPr="00E2149B">
        <w:rPr>
          <w:rStyle w:val="normaltextrun"/>
        </w:rPr>
        <w:t>.</w:t>
      </w:r>
    </w:p>
    <w:p w14:paraId="2C503FA8" w14:textId="77777777" w:rsidR="00CE2940" w:rsidRPr="00CE2940" w:rsidRDefault="00CE2940" w:rsidP="00CE2940">
      <w:pPr>
        <w:pStyle w:val="ListParagraph"/>
        <w:spacing w:after="120" w:line="276" w:lineRule="auto"/>
        <w:rPr>
          <w:rStyle w:val="normaltextrun"/>
          <w:shd w:val="clear" w:color="auto" w:fill="EDEBE9"/>
        </w:rPr>
      </w:pPr>
    </w:p>
    <w:p w14:paraId="7433D331" w14:textId="4CCF33AA" w:rsidR="009F54B5" w:rsidRPr="00A556A4" w:rsidRDefault="009F54B5" w:rsidP="009F54B5">
      <w:pPr>
        <w:pStyle w:val="ListParagraph"/>
        <w:numPr>
          <w:ilvl w:val="0"/>
          <w:numId w:val="8"/>
        </w:numPr>
        <w:spacing w:after="120" w:line="276" w:lineRule="auto"/>
        <w:rPr>
          <w:shd w:val="clear" w:color="auto" w:fill="EDEBE9"/>
        </w:rPr>
      </w:pPr>
      <w:r>
        <w:t xml:space="preserve">Between October 2021 and September 2022, the average lower quartile private rent for a </w:t>
      </w:r>
      <w:proofErr w:type="gramStart"/>
      <w:r>
        <w:t>2 bedroom</w:t>
      </w:r>
      <w:proofErr w:type="gramEnd"/>
      <w:r>
        <w:t xml:space="preserve"> property in Oxfordshire was £929 p/m, this was 49% higher than England (£625). In the </w:t>
      </w:r>
      <w:proofErr w:type="gramStart"/>
      <w:r>
        <w:t>four year</w:t>
      </w:r>
      <w:proofErr w:type="gramEnd"/>
      <w:r>
        <w:t xml:space="preserve"> period from October 2019 to September 2022, the </w:t>
      </w:r>
      <w:r>
        <w:lastRenderedPageBreak/>
        <w:t>average lower quartile private rent across Oxfordshire’s districts have all increased. The highest percentage increase was in Vale of White Horse from £825 to £895 (8%).</w:t>
      </w:r>
    </w:p>
    <w:p w14:paraId="32CE36ED" w14:textId="77777777" w:rsidR="00A556A4" w:rsidRPr="00A556A4" w:rsidRDefault="009F54B5" w:rsidP="009F54B5">
      <w:pPr>
        <w:pStyle w:val="ListParagraph"/>
        <w:numPr>
          <w:ilvl w:val="0"/>
          <w:numId w:val="8"/>
        </w:numPr>
        <w:spacing w:after="120" w:line="276" w:lineRule="auto"/>
        <w:rPr>
          <w:shd w:val="clear" w:color="auto" w:fill="EDEBE9"/>
        </w:rPr>
      </w:pPr>
      <w:r>
        <w:t xml:space="preserve">The ratio of the cheapest market housing and lowest earnings (lower quartile) in 2022 shows that housing was much less affordable in Oxfordshire (10.54) than England (7.37). </w:t>
      </w:r>
    </w:p>
    <w:p w14:paraId="0D5D7195" w14:textId="4FA2C78C" w:rsidR="009F54B5" w:rsidRPr="009F54B5" w:rsidRDefault="009F54B5" w:rsidP="009F54B5">
      <w:pPr>
        <w:pStyle w:val="ListParagraph"/>
        <w:numPr>
          <w:ilvl w:val="0"/>
          <w:numId w:val="8"/>
        </w:numPr>
        <w:spacing w:after="120" w:line="276" w:lineRule="auto"/>
        <w:rPr>
          <w:rStyle w:val="normaltextrun"/>
          <w:shd w:val="clear" w:color="auto" w:fill="EDEBE9"/>
        </w:rPr>
      </w:pPr>
      <w:r>
        <w:t xml:space="preserve">Between 2019 and 2022 the lower quartile affordability ratio decreased in all districts other than Oxford City – which meant that cheaper housing became more affordable for </w:t>
      </w:r>
      <w:proofErr w:type="gramStart"/>
      <w:r>
        <w:t>low income</w:t>
      </w:r>
      <w:proofErr w:type="gramEnd"/>
      <w:r>
        <w:t xml:space="preserve"> workers in four out of five districts. The largest increase in affordability was in West Oxfordshire. Affordability improved by 12% over the </w:t>
      </w:r>
      <w:proofErr w:type="gramStart"/>
      <w:r>
        <w:t>four year</w:t>
      </w:r>
      <w:proofErr w:type="gramEnd"/>
      <w:r>
        <w:t xml:space="preserve"> period.</w:t>
      </w:r>
    </w:p>
    <w:p w14:paraId="36D369D6" w14:textId="7D0E04C3" w:rsidR="00CA75F2" w:rsidRPr="00E2149B" w:rsidRDefault="11233A3D" w:rsidP="00A33897">
      <w:pPr>
        <w:pStyle w:val="ListParagraph"/>
        <w:numPr>
          <w:ilvl w:val="0"/>
          <w:numId w:val="8"/>
        </w:numPr>
        <w:spacing w:after="120" w:line="276" w:lineRule="auto"/>
        <w:rPr>
          <w:rFonts w:eastAsia="Calibri"/>
          <w:lang w:eastAsia="en-GB"/>
        </w:rPr>
      </w:pPr>
      <w:r w:rsidRPr="00E2149B">
        <w:rPr>
          <w:rFonts w:eastAsia="Calibri"/>
          <w:lang w:eastAsia="en-GB"/>
        </w:rPr>
        <w:t xml:space="preserve">Oxfordshire is the most rural county in </w:t>
      </w:r>
      <w:r w:rsidR="06EF2032" w:rsidRPr="00E2149B">
        <w:rPr>
          <w:rFonts w:eastAsia="Calibri"/>
          <w:lang w:eastAsia="en-GB"/>
        </w:rPr>
        <w:t xml:space="preserve">the </w:t>
      </w:r>
      <w:proofErr w:type="gramStart"/>
      <w:r w:rsidRPr="00E2149B">
        <w:rPr>
          <w:rFonts w:eastAsia="Calibri"/>
          <w:lang w:eastAsia="en-GB"/>
        </w:rPr>
        <w:t>South</w:t>
      </w:r>
      <w:r w:rsidR="00882E7B">
        <w:rPr>
          <w:rFonts w:eastAsia="Calibri"/>
          <w:lang w:eastAsia="en-GB"/>
        </w:rPr>
        <w:t xml:space="preserve"> E</w:t>
      </w:r>
      <w:r w:rsidRPr="00E2149B">
        <w:rPr>
          <w:rFonts w:eastAsia="Calibri"/>
          <w:lang w:eastAsia="en-GB"/>
        </w:rPr>
        <w:t>ast</w:t>
      </w:r>
      <w:proofErr w:type="gramEnd"/>
      <w:r w:rsidRPr="00E2149B">
        <w:rPr>
          <w:rFonts w:eastAsia="Calibri"/>
          <w:lang w:eastAsia="en-GB"/>
        </w:rPr>
        <w:t xml:space="preserve"> region,</w:t>
      </w:r>
      <w:r w:rsidR="7A7B6E73" w:rsidRPr="00E2149B">
        <w:rPr>
          <w:rFonts w:eastAsia="Calibri"/>
          <w:lang w:eastAsia="en-GB"/>
        </w:rPr>
        <w:t xml:space="preserve"> so many roles require </w:t>
      </w:r>
      <w:r w:rsidR="4A175B3B" w:rsidRPr="00E2149B">
        <w:rPr>
          <w:rFonts w:eastAsia="Calibri"/>
          <w:lang w:eastAsia="en-GB"/>
        </w:rPr>
        <w:t xml:space="preserve">a </w:t>
      </w:r>
      <w:r w:rsidR="7A7B6E73" w:rsidRPr="00E2149B">
        <w:rPr>
          <w:rFonts w:eastAsia="Calibri"/>
          <w:lang w:eastAsia="en-GB"/>
        </w:rPr>
        <w:t>car/ability to drive which creates a barrier to entry</w:t>
      </w:r>
      <w:r w:rsidR="47E678CC" w:rsidRPr="00E2149B">
        <w:rPr>
          <w:rFonts w:eastAsia="Calibri"/>
          <w:lang w:eastAsia="en-GB"/>
        </w:rPr>
        <w:t xml:space="preserve"> and pressures on pay due to travel time</w:t>
      </w:r>
      <w:r w:rsidR="00763BDA">
        <w:rPr>
          <w:rFonts w:eastAsia="Calibri"/>
          <w:lang w:eastAsia="en-GB"/>
        </w:rPr>
        <w:t>.</w:t>
      </w:r>
    </w:p>
    <w:p w14:paraId="58A3B82A" w14:textId="62BC1CEC" w:rsidR="00CA75F2" w:rsidRPr="002E2268" w:rsidRDefault="00882E7B" w:rsidP="00A33897">
      <w:pPr>
        <w:pStyle w:val="ListParagraph"/>
        <w:numPr>
          <w:ilvl w:val="0"/>
          <w:numId w:val="8"/>
        </w:numPr>
        <w:spacing w:after="120" w:line="276" w:lineRule="auto"/>
        <w:rPr>
          <w:rFonts w:eastAsia="Calibri"/>
          <w:lang w:eastAsia="en-GB"/>
        </w:rPr>
      </w:pPr>
      <w:r w:rsidRPr="2901A276">
        <w:rPr>
          <w:rFonts w:eastAsia="Calibri"/>
          <w:lang w:eastAsia="en-GB"/>
        </w:rPr>
        <w:t>We experience s</w:t>
      </w:r>
      <w:r w:rsidR="00CA75F2" w:rsidRPr="2901A276">
        <w:rPr>
          <w:rFonts w:eastAsia="Calibri"/>
          <w:lang w:eastAsia="en-GB"/>
        </w:rPr>
        <w:t xml:space="preserve">trong competition from other sectors in a buoyant local labour market. For example, in Oxfordshire in </w:t>
      </w:r>
      <w:proofErr w:type="gramStart"/>
      <w:r w:rsidR="00E7636C" w:rsidRPr="2901A276">
        <w:rPr>
          <w:rFonts w:eastAsia="Calibri"/>
          <w:lang w:eastAsia="en-GB"/>
        </w:rPr>
        <w:t xml:space="preserve">December </w:t>
      </w:r>
      <w:r w:rsidR="00CA75F2" w:rsidRPr="2901A276">
        <w:rPr>
          <w:rFonts w:eastAsia="Calibri"/>
          <w:lang w:eastAsia="en-GB"/>
        </w:rPr>
        <w:t xml:space="preserve"> 202</w:t>
      </w:r>
      <w:r w:rsidR="00E7636C" w:rsidRPr="2901A276">
        <w:rPr>
          <w:rFonts w:eastAsia="Calibri"/>
          <w:lang w:eastAsia="en-GB"/>
        </w:rPr>
        <w:t>3</w:t>
      </w:r>
      <w:proofErr w:type="gramEnd"/>
      <w:r w:rsidR="00CA75F2" w:rsidRPr="2901A276">
        <w:rPr>
          <w:rFonts w:eastAsia="Calibri"/>
          <w:lang w:eastAsia="en-GB"/>
        </w:rPr>
        <w:t>, retail assistant jobs were advertised at</w:t>
      </w:r>
      <w:r w:rsidR="00E7636C" w:rsidRPr="2901A276">
        <w:rPr>
          <w:rFonts w:eastAsia="Calibri"/>
          <w:lang w:eastAsia="en-GB"/>
        </w:rPr>
        <w:t xml:space="preserve"> £10.42 - £11.40</w:t>
      </w:r>
      <w:r w:rsidR="002E2268" w:rsidRPr="2901A276">
        <w:rPr>
          <w:rFonts w:eastAsia="Calibri"/>
          <w:lang w:eastAsia="en-GB"/>
        </w:rPr>
        <w:t xml:space="preserve"> </w:t>
      </w:r>
      <w:r w:rsidR="00CA75F2" w:rsidRPr="2901A276">
        <w:rPr>
          <w:rFonts w:eastAsia="Calibri"/>
          <w:lang w:eastAsia="en-GB"/>
        </w:rPr>
        <w:t>per hour, and</w:t>
      </w:r>
      <w:r w:rsidR="001B529D" w:rsidRPr="2901A276">
        <w:rPr>
          <w:rFonts w:eastAsia="Calibri"/>
          <w:lang w:eastAsia="en-GB"/>
        </w:rPr>
        <w:t xml:space="preserve"> </w:t>
      </w:r>
      <w:r w:rsidR="00CA75F2" w:rsidRPr="2901A276">
        <w:rPr>
          <w:rFonts w:eastAsia="Calibri"/>
          <w:lang w:eastAsia="en-GB"/>
        </w:rPr>
        <w:t xml:space="preserve">an Oxford College </w:t>
      </w:r>
      <w:r w:rsidR="001B529D" w:rsidRPr="2901A276">
        <w:rPr>
          <w:rFonts w:eastAsia="Calibri"/>
          <w:lang w:eastAsia="en-GB"/>
        </w:rPr>
        <w:t>advertised for</w:t>
      </w:r>
      <w:r w:rsidR="00CA75F2" w:rsidRPr="2901A276">
        <w:rPr>
          <w:rFonts w:eastAsia="Calibri"/>
          <w:lang w:eastAsia="en-GB"/>
        </w:rPr>
        <w:t xml:space="preserve"> </w:t>
      </w:r>
      <w:r w:rsidR="00E7636C" w:rsidRPr="2901A276">
        <w:rPr>
          <w:rFonts w:eastAsia="Calibri"/>
          <w:lang w:eastAsia="en-GB"/>
        </w:rPr>
        <w:t xml:space="preserve">kitchen porter </w:t>
      </w:r>
      <w:r w:rsidR="00CA75F2" w:rsidRPr="2901A276">
        <w:rPr>
          <w:rFonts w:eastAsia="Calibri"/>
          <w:lang w:eastAsia="en-GB"/>
        </w:rPr>
        <w:t xml:space="preserve">staff </w:t>
      </w:r>
      <w:r w:rsidR="001B529D" w:rsidRPr="2901A276">
        <w:rPr>
          <w:rFonts w:eastAsia="Calibri"/>
          <w:lang w:eastAsia="en-GB"/>
        </w:rPr>
        <w:t>at</w:t>
      </w:r>
      <w:r w:rsidR="00CA75F2" w:rsidRPr="2901A276">
        <w:rPr>
          <w:rFonts w:eastAsia="Calibri"/>
          <w:lang w:eastAsia="en-GB"/>
        </w:rPr>
        <w:t xml:space="preserve"> </w:t>
      </w:r>
      <w:r w:rsidR="0ED1EC4C" w:rsidRPr="2901A276">
        <w:rPr>
          <w:rFonts w:eastAsia="Calibri"/>
          <w:lang w:eastAsia="en-GB"/>
        </w:rPr>
        <w:t>£</w:t>
      </w:r>
      <w:r w:rsidR="00E7636C" w:rsidRPr="2901A276">
        <w:rPr>
          <w:rFonts w:eastAsia="Calibri"/>
          <w:lang w:eastAsia="en-GB"/>
        </w:rPr>
        <w:t>10.90</w:t>
      </w:r>
      <w:r w:rsidR="00CA75F2" w:rsidRPr="2901A276">
        <w:rPr>
          <w:rFonts w:eastAsia="Calibri"/>
          <w:lang w:eastAsia="en-GB"/>
        </w:rPr>
        <w:t xml:space="preserve"> per hour. Skills for Care data reports that the median rate</w:t>
      </w:r>
      <w:r w:rsidRPr="2901A276">
        <w:rPr>
          <w:rFonts w:eastAsia="Calibri"/>
          <w:lang w:eastAsia="en-GB"/>
        </w:rPr>
        <w:t xml:space="preserve"> paid to</w:t>
      </w:r>
      <w:r w:rsidR="00CA75F2" w:rsidRPr="2901A276">
        <w:rPr>
          <w:rFonts w:eastAsia="Calibri"/>
          <w:lang w:eastAsia="en-GB"/>
        </w:rPr>
        <w:t xml:space="preserve"> a care worker in Oxfordshire in 202</w:t>
      </w:r>
      <w:r w:rsidR="008F4F21" w:rsidRPr="2901A276">
        <w:rPr>
          <w:rFonts w:eastAsia="Calibri"/>
          <w:lang w:eastAsia="en-GB"/>
        </w:rPr>
        <w:t>2</w:t>
      </w:r>
      <w:r w:rsidR="00CA75F2" w:rsidRPr="2901A276">
        <w:rPr>
          <w:rFonts w:eastAsia="Calibri"/>
          <w:lang w:eastAsia="en-GB"/>
        </w:rPr>
        <w:t>/2</w:t>
      </w:r>
      <w:r w:rsidR="008F4F21" w:rsidRPr="2901A276">
        <w:rPr>
          <w:rFonts w:eastAsia="Calibri"/>
          <w:lang w:eastAsia="en-GB"/>
        </w:rPr>
        <w:t>3</w:t>
      </w:r>
      <w:r w:rsidR="00CA75F2" w:rsidRPr="2901A276">
        <w:rPr>
          <w:rFonts w:eastAsia="Calibri"/>
          <w:lang w:eastAsia="en-GB"/>
        </w:rPr>
        <w:t xml:space="preserve"> was £</w:t>
      </w:r>
      <w:r w:rsidR="00F15821" w:rsidRPr="2901A276">
        <w:rPr>
          <w:rFonts w:eastAsia="Calibri"/>
          <w:lang w:eastAsia="en-GB"/>
        </w:rPr>
        <w:t>11.</w:t>
      </w:r>
      <w:r w:rsidR="008F4F21" w:rsidRPr="2901A276">
        <w:rPr>
          <w:rFonts w:eastAsia="Calibri"/>
          <w:lang w:eastAsia="en-GB"/>
        </w:rPr>
        <w:t>37</w:t>
      </w:r>
      <w:r w:rsidRPr="2901A276">
        <w:rPr>
          <w:rFonts w:eastAsia="Calibri"/>
          <w:lang w:eastAsia="en-GB"/>
        </w:rPr>
        <w:t xml:space="preserve"> per hour.</w:t>
      </w:r>
      <w:r w:rsidR="00C4332A" w:rsidRPr="2901A276">
        <w:rPr>
          <w:rFonts w:eastAsia="Calibri"/>
          <w:lang w:eastAsia="en-GB"/>
        </w:rPr>
        <w:t xml:space="preserve"> </w:t>
      </w:r>
    </w:p>
    <w:p w14:paraId="0C275799" w14:textId="5BB63D3F" w:rsidR="0069728A" w:rsidRPr="00E2149B" w:rsidRDefault="0069728A" w:rsidP="00A33897">
      <w:pPr>
        <w:pStyle w:val="ListParagraph"/>
        <w:numPr>
          <w:ilvl w:val="0"/>
          <w:numId w:val="8"/>
        </w:numPr>
        <w:spacing w:after="120" w:line="276" w:lineRule="auto"/>
        <w:rPr>
          <w:rFonts w:eastAsia="Calibri"/>
          <w:lang w:eastAsia="en-GB"/>
        </w:rPr>
      </w:pPr>
      <w:r>
        <w:rPr>
          <w:rFonts w:eastAsia="Calibri"/>
          <w:lang w:eastAsia="en-GB"/>
        </w:rPr>
        <w:t>Since publication of the MAC report in 2022, more job roles in social care have been eligible for Health and Care Worker visas, and international recruitment activity has risen significantly across the sector.</w:t>
      </w:r>
      <w:r w:rsidR="00882E7B">
        <w:rPr>
          <w:rFonts w:eastAsia="Calibri"/>
          <w:lang w:eastAsia="en-GB"/>
        </w:rPr>
        <w:t xml:space="preserve"> It is crucial that new entrants to our workforce from overseas are recruited in line with best practice in our sector and given appropriate support from their employer to help them to settle successfully in Oxfordshire.</w:t>
      </w:r>
    </w:p>
    <w:bookmarkEnd w:id="4"/>
    <w:p w14:paraId="15E0A3EB" w14:textId="322FBBB2" w:rsidR="00985D06" w:rsidRPr="00E2149B" w:rsidRDefault="00985D06" w:rsidP="00985D06">
      <w:pPr>
        <w:spacing w:after="120" w:line="264" w:lineRule="auto"/>
        <w:jc w:val="center"/>
        <w:rPr>
          <w:rFonts w:eastAsia="Times New Roman"/>
          <w:noProof/>
          <w:lang w:val="en-US" w:eastAsia="en-GB"/>
        </w:rPr>
      </w:pPr>
    </w:p>
    <w:p w14:paraId="30C31327" w14:textId="3A22A402" w:rsidR="00D95A6F" w:rsidRPr="002D7955" w:rsidRDefault="00835578" w:rsidP="00D95A6F">
      <w:pPr>
        <w:tabs>
          <w:tab w:val="left" w:pos="1706"/>
        </w:tabs>
        <w:spacing w:line="276" w:lineRule="auto"/>
        <w:rPr>
          <w:b/>
          <w:bCs/>
        </w:rPr>
      </w:pPr>
      <w:bookmarkStart w:id="5" w:name="_Hlk123306252"/>
      <w:r w:rsidRPr="002D7955">
        <w:rPr>
          <w:b/>
          <w:bCs/>
        </w:rPr>
        <w:t>Diversity:</w:t>
      </w:r>
    </w:p>
    <w:p w14:paraId="163B4FD2" w14:textId="35C5B895" w:rsidR="00A96841" w:rsidRPr="00E2149B" w:rsidRDefault="00D95A6F" w:rsidP="00D95A6F">
      <w:pPr>
        <w:tabs>
          <w:tab w:val="left" w:pos="1706"/>
        </w:tabs>
        <w:spacing w:line="276" w:lineRule="auto"/>
      </w:pPr>
      <w:r w:rsidRPr="00E2149B">
        <w:t xml:space="preserve">The Equality Act (2010) states that public bodies, including councils need to take extra steps to stop discrimination: this is known as the Public Sector Equality Duty. The key principles outlined in </w:t>
      </w:r>
      <w:r w:rsidR="0026287A" w:rsidRPr="00E2149B">
        <w:t xml:space="preserve">Oxfordshire's </w:t>
      </w:r>
      <w:hyperlink r:id="rId28" w:history="1">
        <w:r w:rsidRPr="00E2149B">
          <w:rPr>
            <w:rStyle w:val="Hyperlink"/>
          </w:rPr>
          <w:t>Including Everyone Framework</w:t>
        </w:r>
      </w:hyperlink>
      <w:r w:rsidRPr="00E2149B">
        <w:rPr>
          <w:rStyle w:val="Hyperlink"/>
        </w:rPr>
        <w:t xml:space="preserve"> </w:t>
      </w:r>
      <w:r w:rsidRPr="00E2149B">
        <w:rPr>
          <w:rStyle w:val="Hyperlink"/>
          <w:color w:val="auto"/>
          <w:u w:val="none"/>
        </w:rPr>
        <w:t xml:space="preserve">are designed </w:t>
      </w:r>
      <w:r w:rsidRPr="00E2149B">
        <w:t xml:space="preserve">to ensure we deliver equitable services to our residents and support our workforce to be confident and feel valued in their role. One of our core values is ‘Equality and Integrity’ where we embrace equality, diversity and </w:t>
      </w:r>
      <w:proofErr w:type="gramStart"/>
      <w:r w:rsidRPr="00E2149B">
        <w:t>inclusion;</w:t>
      </w:r>
      <w:proofErr w:type="gramEnd"/>
      <w:r w:rsidRPr="00E2149B">
        <w:t xml:space="preserve"> valuing the difference in others. </w:t>
      </w:r>
    </w:p>
    <w:p w14:paraId="038F2992" w14:textId="459E5ECF" w:rsidR="00A96841" w:rsidRPr="00E2149B" w:rsidRDefault="00A96841" w:rsidP="00D95A6F">
      <w:pPr>
        <w:tabs>
          <w:tab w:val="left" w:pos="1706"/>
        </w:tabs>
        <w:spacing w:line="276" w:lineRule="auto"/>
      </w:pPr>
    </w:p>
    <w:p w14:paraId="3192B0AA" w14:textId="30F15874" w:rsidR="00D95A6F" w:rsidRPr="00E2149B" w:rsidRDefault="00A96841" w:rsidP="00D95A6F">
      <w:pPr>
        <w:tabs>
          <w:tab w:val="left" w:pos="1706"/>
        </w:tabs>
        <w:spacing w:line="276" w:lineRule="auto"/>
      </w:pPr>
      <w:r w:rsidRPr="00E2149B">
        <w:t xml:space="preserve">In recent years, it is increasingly accepted by many employers that despite setting out genuine intentions </w:t>
      </w:r>
      <w:r w:rsidR="00D95A6F" w:rsidRPr="00E2149B">
        <w:t xml:space="preserve">to </w:t>
      </w:r>
      <w:r w:rsidRPr="00E2149B">
        <w:t>create</w:t>
      </w:r>
      <w:r w:rsidR="00D95A6F" w:rsidRPr="00E2149B">
        <w:t xml:space="preserve"> supportive and inclusive environment</w:t>
      </w:r>
      <w:r w:rsidRPr="00E2149B">
        <w:t>s</w:t>
      </w:r>
      <w:r w:rsidR="00D95A6F" w:rsidRPr="00E2149B">
        <w:t xml:space="preserve"> where all staff can thrive</w:t>
      </w:r>
      <w:r w:rsidRPr="00E2149B">
        <w:t xml:space="preserve">, this is not the lived experience of people who belong to minority groups. </w:t>
      </w:r>
      <w:r w:rsidR="003356B9" w:rsidRPr="00E2149B">
        <w:t xml:space="preserve">This </w:t>
      </w:r>
      <w:r w:rsidR="003356B9" w:rsidRPr="00E2149B">
        <w:lastRenderedPageBreak/>
        <w:t xml:space="preserve">strategy recognises that we need to </w:t>
      </w:r>
      <w:r w:rsidR="00D95A6F" w:rsidRPr="00E2149B">
        <w:t xml:space="preserve">take active steps </w:t>
      </w:r>
      <w:r w:rsidRPr="00E2149B">
        <w:t>ensure our diverse communities are represented</w:t>
      </w:r>
      <w:r w:rsidR="00E76AE9" w:rsidRPr="00E2149B">
        <w:t xml:space="preserve"> throughout</w:t>
      </w:r>
      <w:r w:rsidRPr="00E2149B">
        <w:t xml:space="preserve"> our workforce</w:t>
      </w:r>
      <w:r w:rsidR="003356B9" w:rsidRPr="00E2149B">
        <w:t xml:space="preserve"> and states our </w:t>
      </w:r>
      <w:r w:rsidR="003356B9" w:rsidRPr="00690A36">
        <w:rPr>
          <w:color w:val="333333"/>
          <w:shd w:val="clear" w:color="auto" w:fill="FFFFFF"/>
        </w:rPr>
        <w:t>commitment to improve our approach to equality, diversity and inclusion.</w:t>
      </w:r>
      <w:r w:rsidR="003356B9" w:rsidRPr="00690A36">
        <w:rPr>
          <w:color w:val="333333"/>
          <w:sz w:val="21"/>
          <w:szCs w:val="21"/>
          <w:shd w:val="clear" w:color="auto" w:fill="FFFFFF"/>
        </w:rPr>
        <w:t xml:space="preserve"> </w:t>
      </w:r>
    </w:p>
    <w:p w14:paraId="6BA6341C" w14:textId="77777777" w:rsidR="007C4CF4" w:rsidRPr="00E2149B" w:rsidRDefault="007C4CF4" w:rsidP="007C4CF4">
      <w:pPr>
        <w:tabs>
          <w:tab w:val="left" w:pos="284"/>
        </w:tabs>
        <w:spacing w:after="120" w:line="264" w:lineRule="auto"/>
        <w:contextualSpacing/>
        <w:rPr>
          <w:rFonts w:eastAsia="Times New Roman"/>
          <w:noProof/>
          <w:lang w:eastAsia="en-GB"/>
        </w:rPr>
      </w:pPr>
    </w:p>
    <w:p w14:paraId="56973C80" w14:textId="538CB72E" w:rsidR="00985D06" w:rsidRDefault="00F3419C" w:rsidP="00690A36">
      <w:pPr>
        <w:spacing w:line="276" w:lineRule="auto"/>
      </w:pPr>
      <w:r w:rsidRPr="00E2149B">
        <w:rPr>
          <w:rFonts w:eastAsia="Times New Roman"/>
          <w:noProof/>
          <w:lang w:eastAsia="en-GB"/>
        </w:rPr>
        <w:t>To look at one example of the gap between aspiration and reality, we can focus</w:t>
      </w:r>
      <w:r w:rsidR="007C4CF4" w:rsidRPr="00E2149B">
        <w:rPr>
          <w:rFonts w:eastAsia="Times New Roman"/>
          <w:noProof/>
          <w:lang w:eastAsia="en-GB"/>
        </w:rPr>
        <w:t xml:space="preserve"> on </w:t>
      </w:r>
      <w:r w:rsidRPr="00E2149B">
        <w:rPr>
          <w:rFonts w:eastAsia="Times New Roman"/>
          <w:noProof/>
          <w:lang w:eastAsia="en-GB"/>
        </w:rPr>
        <w:t xml:space="preserve">the </w:t>
      </w:r>
      <w:r w:rsidR="007C4CF4" w:rsidRPr="00E2149B">
        <w:rPr>
          <w:rFonts w:eastAsia="Times New Roman"/>
          <w:noProof/>
          <w:lang w:eastAsia="en-GB"/>
        </w:rPr>
        <w:t>ethnic diversity of our workforce</w:t>
      </w:r>
      <w:r w:rsidRPr="00E2149B">
        <w:rPr>
          <w:rFonts w:eastAsia="Times New Roman"/>
          <w:noProof/>
          <w:lang w:eastAsia="en-GB"/>
        </w:rPr>
        <w:t>. T</w:t>
      </w:r>
      <w:r w:rsidR="00983ADF" w:rsidRPr="00E2149B">
        <w:rPr>
          <w:rFonts w:eastAsia="Times New Roman"/>
          <w:noProof/>
          <w:lang w:eastAsia="en-GB"/>
        </w:rPr>
        <w:t xml:space="preserve">he Adult Social Care Workforce </w:t>
      </w:r>
      <w:r w:rsidR="00983ADF" w:rsidRPr="008F4F21">
        <w:rPr>
          <w:rFonts w:eastAsia="Times New Roman"/>
          <w:noProof/>
          <w:lang w:eastAsia="en-GB"/>
        </w:rPr>
        <w:t>Dataset illustrates that the care workforce in the independent sector is more diverse than the local authority, with a higher proportion of people reporting they are from a Black, Asian or Minority Ethnic group (</w:t>
      </w:r>
      <w:r w:rsidR="00183387" w:rsidRPr="008F4F21">
        <w:rPr>
          <w:rFonts w:eastAsia="Times New Roman"/>
          <w:noProof/>
          <w:lang w:eastAsia="en-GB"/>
        </w:rPr>
        <w:t>2</w:t>
      </w:r>
      <w:r w:rsidR="00A556A4" w:rsidRPr="008F4F21">
        <w:rPr>
          <w:rFonts w:eastAsia="Times New Roman"/>
          <w:noProof/>
          <w:lang w:eastAsia="en-GB"/>
        </w:rPr>
        <w:t>7</w:t>
      </w:r>
      <w:r w:rsidR="007C757D" w:rsidRPr="008F4F21">
        <w:rPr>
          <w:rFonts w:eastAsia="Times New Roman"/>
          <w:noProof/>
          <w:lang w:eastAsia="en-GB"/>
        </w:rPr>
        <w:t xml:space="preserve">% </w:t>
      </w:r>
      <w:r w:rsidR="00183387" w:rsidRPr="008F4F21">
        <w:rPr>
          <w:rFonts w:eastAsia="Times New Roman"/>
          <w:noProof/>
          <w:lang w:eastAsia="en-GB"/>
        </w:rPr>
        <w:t xml:space="preserve">of the social care workforce in the </w:t>
      </w:r>
      <w:r w:rsidR="007C757D" w:rsidRPr="008F4F21">
        <w:rPr>
          <w:rFonts w:eastAsia="Times New Roman"/>
          <w:noProof/>
          <w:lang w:eastAsia="en-GB"/>
        </w:rPr>
        <w:t>independent sector</w:t>
      </w:r>
      <w:r w:rsidR="00983ADF" w:rsidRPr="008F4F21">
        <w:rPr>
          <w:rFonts w:eastAsia="Times New Roman"/>
          <w:noProof/>
          <w:lang w:eastAsia="en-GB"/>
        </w:rPr>
        <w:t xml:space="preserve">, contrasting with </w:t>
      </w:r>
      <w:r w:rsidR="00183387" w:rsidRPr="008F4F21">
        <w:rPr>
          <w:rFonts w:eastAsia="Times New Roman"/>
          <w:noProof/>
          <w:lang w:eastAsia="en-GB"/>
        </w:rPr>
        <w:t>13% of the workforce employed by the local authority</w:t>
      </w:r>
      <w:r w:rsidR="00983ADF" w:rsidRPr="008F4F21">
        <w:rPr>
          <w:rFonts w:eastAsia="Times New Roman"/>
          <w:noProof/>
          <w:lang w:eastAsia="en-GB"/>
        </w:rPr>
        <w:t xml:space="preserve">). </w:t>
      </w:r>
      <w:r w:rsidR="00E76AE9" w:rsidRPr="008F4F21">
        <w:rPr>
          <w:rFonts w:eastAsia="Times New Roman"/>
          <w:noProof/>
          <w:lang w:eastAsia="en-GB"/>
        </w:rPr>
        <w:t>In both cases, the</w:t>
      </w:r>
      <w:r w:rsidR="00183387" w:rsidRPr="008F4F21">
        <w:rPr>
          <w:rFonts w:eastAsia="Times New Roman"/>
          <w:noProof/>
          <w:lang w:eastAsia="en-GB"/>
        </w:rPr>
        <w:t xml:space="preserve"> data </w:t>
      </w:r>
      <w:r w:rsidR="00E76AE9" w:rsidRPr="008F4F21">
        <w:rPr>
          <w:rFonts w:eastAsia="Times New Roman"/>
          <w:noProof/>
          <w:lang w:eastAsia="en-GB"/>
        </w:rPr>
        <w:t xml:space="preserve">also </w:t>
      </w:r>
      <w:r w:rsidR="00183387" w:rsidRPr="008F4F21">
        <w:rPr>
          <w:rFonts w:eastAsia="Times New Roman"/>
          <w:noProof/>
          <w:lang w:eastAsia="en-GB"/>
        </w:rPr>
        <w:t xml:space="preserve">shows that the proportion of people from Black, Asian and Minority Ethnic groups in any managerial position </w:t>
      </w:r>
      <w:r w:rsidR="007C4CF4" w:rsidRPr="008F4F21">
        <w:rPr>
          <w:rFonts w:eastAsia="Times New Roman"/>
          <w:noProof/>
          <w:lang w:eastAsia="en-GB"/>
        </w:rPr>
        <w:t>is, at</w:t>
      </w:r>
      <w:r w:rsidR="00183387" w:rsidRPr="008F4F21">
        <w:rPr>
          <w:rFonts w:eastAsia="Times New Roman"/>
          <w:noProof/>
          <w:lang w:eastAsia="en-GB"/>
        </w:rPr>
        <w:t xml:space="preserve"> 1</w:t>
      </w:r>
      <w:r w:rsidR="00A556A4" w:rsidRPr="008F4F21">
        <w:rPr>
          <w:rFonts w:eastAsia="Times New Roman"/>
          <w:noProof/>
          <w:lang w:eastAsia="en-GB"/>
        </w:rPr>
        <w:t>3</w:t>
      </w:r>
      <w:r w:rsidR="00183387" w:rsidRPr="008F4F21">
        <w:rPr>
          <w:rFonts w:eastAsia="Times New Roman"/>
          <w:noProof/>
          <w:lang w:eastAsia="en-GB"/>
        </w:rPr>
        <w:t>%</w:t>
      </w:r>
      <w:r w:rsidR="007C4CF4" w:rsidRPr="008F4F21">
        <w:rPr>
          <w:rFonts w:eastAsia="Times New Roman"/>
          <w:noProof/>
          <w:lang w:eastAsia="en-GB"/>
        </w:rPr>
        <w:t>, not</w:t>
      </w:r>
      <w:r w:rsidR="007C4CF4" w:rsidRPr="00E2149B">
        <w:rPr>
          <w:rFonts w:eastAsia="Times New Roman"/>
          <w:noProof/>
          <w:lang w:eastAsia="en-GB"/>
        </w:rPr>
        <w:t xml:space="preserve"> representative of the wider workforce. </w:t>
      </w:r>
      <w:r w:rsidR="002F257E" w:rsidRPr="00E2149B">
        <w:rPr>
          <w:rFonts w:eastAsia="Times New Roman"/>
          <w:noProof/>
          <w:lang w:eastAsia="en-GB"/>
        </w:rPr>
        <w:t xml:space="preserve">Proactive </w:t>
      </w:r>
      <w:r w:rsidR="0080385A" w:rsidRPr="00E2149B">
        <w:rPr>
          <w:rFonts w:eastAsia="Times New Roman"/>
          <w:noProof/>
          <w:lang w:eastAsia="en-GB"/>
        </w:rPr>
        <w:t>steps to address this imbalance</w:t>
      </w:r>
      <w:r w:rsidR="002F257E" w:rsidRPr="00E2149B">
        <w:rPr>
          <w:rFonts w:eastAsia="Times New Roman"/>
          <w:noProof/>
          <w:lang w:eastAsia="en-GB"/>
        </w:rPr>
        <w:t xml:space="preserve"> will be built into our delivery plan</w:t>
      </w:r>
      <w:r w:rsidR="00F13030" w:rsidRPr="00E2149B">
        <w:rPr>
          <w:rFonts w:eastAsia="Times New Roman"/>
          <w:noProof/>
          <w:lang w:eastAsia="en-GB"/>
        </w:rPr>
        <w:t>: f</w:t>
      </w:r>
      <w:r w:rsidR="0080385A" w:rsidRPr="00E2149B">
        <w:rPr>
          <w:rFonts w:eastAsia="Times New Roman"/>
          <w:noProof/>
          <w:lang w:eastAsia="en-GB"/>
        </w:rPr>
        <w:t xml:space="preserve">or example, by promoting leadership programmes </w:t>
      </w:r>
      <w:r w:rsidR="0080385A" w:rsidRPr="00E2149B">
        <w:t xml:space="preserve">aimed at Black, Asian and </w:t>
      </w:r>
      <w:r w:rsidR="00F13030" w:rsidRPr="00E2149B">
        <w:t>M</w:t>
      </w:r>
      <w:r w:rsidR="0080385A" w:rsidRPr="00E2149B">
        <w:t xml:space="preserve">inority </w:t>
      </w:r>
      <w:r w:rsidR="00F13030" w:rsidRPr="00E2149B">
        <w:t>E</w:t>
      </w:r>
      <w:r w:rsidR="0080385A" w:rsidRPr="00E2149B">
        <w:t>thnic leaders who want to develop and progress in their career</w:t>
      </w:r>
      <w:r w:rsidR="002F257E" w:rsidRPr="00E2149B">
        <w:t>s</w:t>
      </w:r>
      <w:r w:rsidR="0080385A" w:rsidRPr="00E2149B">
        <w:t>.</w:t>
      </w:r>
      <w:bookmarkEnd w:id="5"/>
    </w:p>
    <w:p w14:paraId="63E14C8A" w14:textId="58A3E96B" w:rsidR="000F5CAF" w:rsidRDefault="000F5CAF" w:rsidP="00835578">
      <w:pPr>
        <w:pStyle w:val="paragraph"/>
        <w:spacing w:before="0" w:beforeAutospacing="0" w:after="0" w:afterAutospacing="0"/>
        <w:textAlignment w:val="baseline"/>
        <w:rPr>
          <w:rStyle w:val="normaltextrun"/>
          <w:rFonts w:ascii="Arial" w:hAnsi="Arial" w:cs="Arial"/>
          <w:b/>
          <w:bCs/>
        </w:rPr>
      </w:pPr>
    </w:p>
    <w:p w14:paraId="3A84A70C" w14:textId="69A5FAE9" w:rsidR="00545DEA" w:rsidRPr="002D7955" w:rsidRDefault="00A02FF4" w:rsidP="00BF2BCB">
      <w:pPr>
        <w:autoSpaceDE w:val="0"/>
        <w:autoSpaceDN w:val="0"/>
        <w:adjustRightInd w:val="0"/>
        <w:spacing w:line="276" w:lineRule="auto"/>
        <w:rPr>
          <w:rFonts w:eastAsiaTheme="minorEastAsia"/>
          <w:b/>
          <w:bCs/>
        </w:rPr>
      </w:pPr>
      <w:r w:rsidRPr="002D7955">
        <w:rPr>
          <w:rFonts w:eastAsiaTheme="minorEastAsia"/>
          <w:b/>
          <w:bCs/>
        </w:rPr>
        <w:t>Next steps:</w:t>
      </w:r>
    </w:p>
    <w:p w14:paraId="1110C290" w14:textId="77777777" w:rsidR="00A02FF4" w:rsidRDefault="00A02FF4" w:rsidP="00BF2BCB">
      <w:pPr>
        <w:autoSpaceDE w:val="0"/>
        <w:autoSpaceDN w:val="0"/>
        <w:adjustRightInd w:val="0"/>
        <w:spacing w:line="276" w:lineRule="auto"/>
        <w:rPr>
          <w:rFonts w:eastAsiaTheme="minorEastAsia"/>
          <w:b/>
          <w:bCs/>
          <w:color w:val="FF0000"/>
        </w:rPr>
      </w:pPr>
    </w:p>
    <w:p w14:paraId="0FEABAF3" w14:textId="2BC7C42B" w:rsidR="00CE0F49" w:rsidRDefault="00CE0F49" w:rsidP="00CE0F49">
      <w:pPr>
        <w:autoSpaceDE w:val="0"/>
        <w:autoSpaceDN w:val="0"/>
        <w:adjustRightInd w:val="0"/>
        <w:spacing w:after="120" w:line="276" w:lineRule="auto"/>
        <w:contextualSpacing/>
        <w:rPr>
          <w:rFonts w:eastAsia="Times New Roman"/>
          <w:noProof/>
          <w:lang w:val="en-US" w:eastAsia="en-GB"/>
        </w:rPr>
      </w:pPr>
      <w:r w:rsidRPr="00690A36">
        <w:rPr>
          <w:rFonts w:eastAsiaTheme="minorEastAsia"/>
        </w:rPr>
        <w:t>To respond to the challenges described in this strategy</w:t>
      </w:r>
      <w:r w:rsidRPr="00E2149B">
        <w:rPr>
          <w:rFonts w:eastAsia="Times New Roman"/>
          <w:noProof/>
          <w:lang w:val="en-US" w:eastAsia="en-GB"/>
        </w:rPr>
        <w:t>, a detailed workforce development delivery plan is in development, describing the activity that is planned for delivery across our sector, and setting out the way that impact will be measured.</w:t>
      </w:r>
    </w:p>
    <w:p w14:paraId="29BD6B9B" w14:textId="300AAE1A" w:rsidR="0070743A" w:rsidRDefault="0070743A" w:rsidP="00CE0F49">
      <w:pPr>
        <w:autoSpaceDE w:val="0"/>
        <w:autoSpaceDN w:val="0"/>
        <w:adjustRightInd w:val="0"/>
        <w:spacing w:after="120" w:line="276" w:lineRule="auto"/>
        <w:contextualSpacing/>
        <w:rPr>
          <w:rFonts w:eastAsia="Times New Roman"/>
          <w:noProof/>
          <w:lang w:val="en-US" w:eastAsia="en-GB"/>
        </w:rPr>
      </w:pPr>
    </w:p>
    <w:p w14:paraId="329B2C13" w14:textId="266EBA83" w:rsidR="00A02FF4" w:rsidRPr="00D85B3D" w:rsidRDefault="00A02FF4" w:rsidP="00CE0F49">
      <w:pPr>
        <w:autoSpaceDE w:val="0"/>
        <w:autoSpaceDN w:val="0"/>
        <w:adjustRightInd w:val="0"/>
        <w:spacing w:after="120" w:line="276" w:lineRule="auto"/>
        <w:contextualSpacing/>
        <w:rPr>
          <w:rFonts w:eastAsia="Times New Roman"/>
          <w:noProof/>
          <w:lang w:val="en-US" w:eastAsia="en-GB"/>
        </w:rPr>
      </w:pPr>
      <w:r w:rsidRPr="00D85B3D">
        <w:rPr>
          <w:rFonts w:eastAsia="Times New Roman"/>
          <w:noProof/>
          <w:lang w:val="en-US" w:eastAsia="en-GB"/>
        </w:rPr>
        <w:t xml:space="preserve">The objectives of the delivery plan are </w:t>
      </w:r>
      <w:r w:rsidR="005E7D7F" w:rsidRPr="00D85B3D">
        <w:rPr>
          <w:rFonts w:eastAsia="Times New Roman"/>
          <w:noProof/>
          <w:lang w:val="en-US" w:eastAsia="en-GB"/>
        </w:rPr>
        <w:t xml:space="preserve">proposed to be </w:t>
      </w:r>
      <w:r w:rsidRPr="00D85B3D">
        <w:rPr>
          <w:rFonts w:eastAsia="Times New Roman"/>
          <w:noProof/>
          <w:lang w:val="en-US" w:eastAsia="en-GB"/>
        </w:rPr>
        <w:t>as follows:</w:t>
      </w:r>
    </w:p>
    <w:p w14:paraId="35AD0A3F" w14:textId="3A627922" w:rsidR="00A02FF4" w:rsidRPr="002D7955" w:rsidRDefault="00A02FF4" w:rsidP="00A02FF4">
      <w:pPr>
        <w:pStyle w:val="ListParagraph"/>
        <w:numPr>
          <w:ilvl w:val="0"/>
          <w:numId w:val="28"/>
        </w:numPr>
        <w:autoSpaceDE w:val="0"/>
        <w:autoSpaceDN w:val="0"/>
        <w:adjustRightInd w:val="0"/>
        <w:spacing w:line="276" w:lineRule="auto"/>
        <w:rPr>
          <w:rFonts w:eastAsiaTheme="minorEastAsia"/>
        </w:rPr>
      </w:pPr>
      <w:r w:rsidRPr="002D7955">
        <w:rPr>
          <w:rFonts w:eastAsiaTheme="minorEastAsia"/>
        </w:rPr>
        <w:t>Reduce vacancy rates</w:t>
      </w:r>
      <w:r w:rsidR="000B41C7" w:rsidRPr="002D7955">
        <w:rPr>
          <w:rFonts w:eastAsiaTheme="minorEastAsia"/>
        </w:rPr>
        <w:t xml:space="preserve"> across the adult social care workforce</w:t>
      </w:r>
    </w:p>
    <w:p w14:paraId="1949321A" w14:textId="5C388A63" w:rsidR="00A02FF4" w:rsidRPr="002D7955" w:rsidRDefault="00A02FF4" w:rsidP="000B41C7">
      <w:pPr>
        <w:pStyle w:val="ListParagraph"/>
        <w:numPr>
          <w:ilvl w:val="0"/>
          <w:numId w:val="28"/>
        </w:numPr>
        <w:autoSpaceDE w:val="0"/>
        <w:autoSpaceDN w:val="0"/>
        <w:adjustRightInd w:val="0"/>
        <w:spacing w:line="276" w:lineRule="auto"/>
        <w:rPr>
          <w:rFonts w:eastAsiaTheme="minorEastAsia"/>
        </w:rPr>
      </w:pPr>
      <w:r w:rsidRPr="002D7955">
        <w:rPr>
          <w:rFonts w:eastAsiaTheme="minorEastAsia"/>
        </w:rPr>
        <w:t>Reduce turnover rates</w:t>
      </w:r>
      <w:r w:rsidR="000B41C7" w:rsidRPr="002D7955">
        <w:rPr>
          <w:rFonts w:eastAsiaTheme="minorEastAsia"/>
        </w:rPr>
        <w:t xml:space="preserve"> across the adult social care workforce</w:t>
      </w:r>
    </w:p>
    <w:p w14:paraId="2813DA13" w14:textId="7305EF85" w:rsidR="00A02FF4" w:rsidRPr="002D7955" w:rsidRDefault="005E7D7F" w:rsidP="00A02FF4">
      <w:pPr>
        <w:pStyle w:val="ListParagraph"/>
        <w:numPr>
          <w:ilvl w:val="0"/>
          <w:numId w:val="28"/>
        </w:numPr>
        <w:autoSpaceDE w:val="0"/>
        <w:autoSpaceDN w:val="0"/>
        <w:adjustRightInd w:val="0"/>
        <w:spacing w:line="276" w:lineRule="auto"/>
        <w:rPr>
          <w:rFonts w:eastAsiaTheme="minorEastAsia"/>
        </w:rPr>
      </w:pPr>
      <w:r w:rsidRPr="002D7955">
        <w:rPr>
          <w:rFonts w:eastAsiaTheme="minorEastAsia"/>
        </w:rPr>
        <w:t>Develop the</w:t>
      </w:r>
      <w:r w:rsidR="00A02FF4" w:rsidRPr="002D7955">
        <w:rPr>
          <w:rFonts w:eastAsiaTheme="minorEastAsia"/>
        </w:rPr>
        <w:t xml:space="preserve"> skills </w:t>
      </w:r>
      <w:r w:rsidR="00994853" w:rsidRPr="002D7955">
        <w:rPr>
          <w:rFonts w:eastAsiaTheme="minorEastAsia"/>
        </w:rPr>
        <w:t>of our</w:t>
      </w:r>
      <w:r w:rsidR="008164B7" w:rsidRPr="002D7955">
        <w:rPr>
          <w:rFonts w:eastAsiaTheme="minorEastAsia"/>
        </w:rPr>
        <w:t xml:space="preserve"> workforce</w:t>
      </w:r>
      <w:r w:rsidR="00994853" w:rsidRPr="002D7955">
        <w:rPr>
          <w:rFonts w:eastAsiaTheme="minorEastAsia"/>
        </w:rPr>
        <w:t xml:space="preserve"> using opportunities including Workforce Development Funding and Apprenticeships</w:t>
      </w:r>
    </w:p>
    <w:p w14:paraId="1CA1E172" w14:textId="77777777" w:rsidR="00A02FF4" w:rsidRPr="002D7955" w:rsidRDefault="00A02FF4" w:rsidP="00A02FF4">
      <w:pPr>
        <w:pStyle w:val="ListParagraph"/>
        <w:numPr>
          <w:ilvl w:val="0"/>
          <w:numId w:val="28"/>
        </w:numPr>
        <w:autoSpaceDE w:val="0"/>
        <w:autoSpaceDN w:val="0"/>
        <w:adjustRightInd w:val="0"/>
        <w:spacing w:line="276" w:lineRule="auto"/>
        <w:rPr>
          <w:rFonts w:eastAsiaTheme="minorEastAsia"/>
        </w:rPr>
      </w:pPr>
      <w:r w:rsidRPr="002D7955">
        <w:rPr>
          <w:rFonts w:eastAsiaTheme="minorEastAsia"/>
        </w:rPr>
        <w:t xml:space="preserve">Drive inclusivity and diversity </w:t>
      </w:r>
    </w:p>
    <w:p w14:paraId="0952A464" w14:textId="77777777" w:rsidR="00A02FF4" w:rsidRPr="002D7955" w:rsidRDefault="00A02FF4" w:rsidP="00A02FF4">
      <w:pPr>
        <w:pStyle w:val="ListParagraph"/>
        <w:numPr>
          <w:ilvl w:val="0"/>
          <w:numId w:val="28"/>
        </w:numPr>
        <w:autoSpaceDE w:val="0"/>
        <w:autoSpaceDN w:val="0"/>
        <w:adjustRightInd w:val="0"/>
        <w:spacing w:line="276" w:lineRule="auto"/>
        <w:rPr>
          <w:rFonts w:eastAsiaTheme="minorEastAsia"/>
        </w:rPr>
      </w:pPr>
      <w:r w:rsidRPr="002D7955">
        <w:rPr>
          <w:rFonts w:eastAsiaTheme="minorEastAsia"/>
        </w:rPr>
        <w:t>Promote opportunities to develop a career in the sector</w:t>
      </w:r>
    </w:p>
    <w:p w14:paraId="347B87E9" w14:textId="106259AE" w:rsidR="00A02FF4" w:rsidRPr="00D85B3D" w:rsidRDefault="00A02FF4" w:rsidP="00CE0F49">
      <w:pPr>
        <w:autoSpaceDE w:val="0"/>
        <w:autoSpaceDN w:val="0"/>
        <w:adjustRightInd w:val="0"/>
        <w:spacing w:after="120" w:line="276" w:lineRule="auto"/>
        <w:contextualSpacing/>
        <w:rPr>
          <w:rFonts w:eastAsia="Times New Roman"/>
          <w:noProof/>
          <w:lang w:val="en-US" w:eastAsia="en-GB"/>
        </w:rPr>
      </w:pPr>
    </w:p>
    <w:p w14:paraId="0B029069" w14:textId="294A4270" w:rsidR="00CE0F49" w:rsidRPr="00D85B3D" w:rsidRDefault="00CE0F49" w:rsidP="00BF2BCB">
      <w:pPr>
        <w:autoSpaceDE w:val="0"/>
        <w:autoSpaceDN w:val="0"/>
        <w:adjustRightInd w:val="0"/>
        <w:spacing w:line="276" w:lineRule="auto"/>
        <w:rPr>
          <w:rFonts w:eastAsiaTheme="minorEastAsia"/>
        </w:rPr>
      </w:pPr>
      <w:r w:rsidRPr="00D85B3D">
        <w:rPr>
          <w:rFonts w:eastAsiaTheme="minorEastAsia"/>
        </w:rPr>
        <w:t xml:space="preserve">The principles that </w:t>
      </w:r>
      <w:r w:rsidR="00996826" w:rsidRPr="00D85B3D">
        <w:rPr>
          <w:rFonts w:eastAsiaTheme="minorEastAsia"/>
        </w:rPr>
        <w:t>will</w:t>
      </w:r>
      <w:r w:rsidRPr="00D85B3D">
        <w:rPr>
          <w:rFonts w:eastAsiaTheme="minorEastAsia"/>
        </w:rPr>
        <w:t xml:space="preserve"> guide the development of this delivery plan are </w:t>
      </w:r>
      <w:r w:rsidR="0070743A" w:rsidRPr="00D85B3D">
        <w:rPr>
          <w:rFonts w:eastAsiaTheme="minorEastAsia"/>
        </w:rPr>
        <w:t xml:space="preserve">proposed </w:t>
      </w:r>
      <w:r w:rsidRPr="00D85B3D">
        <w:rPr>
          <w:rFonts w:eastAsiaTheme="minorEastAsia"/>
        </w:rPr>
        <w:t>as follows:</w:t>
      </w:r>
    </w:p>
    <w:p w14:paraId="676ED508" w14:textId="518CABA1" w:rsidR="005D2273" w:rsidRPr="00E2149B" w:rsidRDefault="005D2273" w:rsidP="00690A36">
      <w:pPr>
        <w:autoSpaceDE w:val="0"/>
        <w:autoSpaceDN w:val="0"/>
        <w:adjustRightInd w:val="0"/>
        <w:spacing w:line="276" w:lineRule="auto"/>
      </w:pPr>
    </w:p>
    <w:p w14:paraId="76F48FFE" w14:textId="4D115F64" w:rsidR="00F633C0" w:rsidRPr="00D85B3D" w:rsidRDefault="00F633C0" w:rsidP="002D7955">
      <w:pPr>
        <w:numPr>
          <w:ilvl w:val="0"/>
          <w:numId w:val="29"/>
        </w:numPr>
        <w:spacing w:after="120" w:line="264" w:lineRule="auto"/>
      </w:pPr>
      <w:r w:rsidRPr="00D85B3D">
        <w:t xml:space="preserve">Care and support </w:t>
      </w:r>
      <w:r w:rsidR="008F1BCE" w:rsidRPr="00D85B3D">
        <w:t>are</w:t>
      </w:r>
      <w:r w:rsidRPr="00D85B3D">
        <w:t xml:space="preserve"> </w:t>
      </w:r>
      <w:r w:rsidR="00CE0F49" w:rsidRPr="00D85B3D">
        <w:t xml:space="preserve">celebrated </w:t>
      </w:r>
      <w:r w:rsidRPr="00D85B3D">
        <w:t>as a meaningful and rewarding career, where people can develop and progress</w:t>
      </w:r>
    </w:p>
    <w:p w14:paraId="1F44FE4F" w14:textId="2E1212B6" w:rsidR="00F633C0" w:rsidRPr="00D85B3D" w:rsidRDefault="00F633C0" w:rsidP="002D7955">
      <w:pPr>
        <w:numPr>
          <w:ilvl w:val="0"/>
          <w:numId w:val="29"/>
        </w:numPr>
        <w:spacing w:after="120" w:line="264" w:lineRule="auto"/>
      </w:pPr>
      <w:r w:rsidRPr="00D85B3D">
        <w:lastRenderedPageBreak/>
        <w:t>Innovative approaches are tried and tested to recruit and develop a sustainable and highly skilled workforce that is representative of the community it serves</w:t>
      </w:r>
      <w:r w:rsidR="00B65E28" w:rsidRPr="00D85B3D">
        <w:t>. W</w:t>
      </w:r>
      <w:r w:rsidRPr="00D85B3D">
        <w:t>e attract and retain talented employees from a wide range of backgrounds with diverse skills and experience</w:t>
      </w:r>
    </w:p>
    <w:p w14:paraId="34DCDA11" w14:textId="2E8566F5" w:rsidR="00F633C0" w:rsidRPr="00D85B3D" w:rsidRDefault="00CE0F49" w:rsidP="002D7955">
      <w:pPr>
        <w:numPr>
          <w:ilvl w:val="0"/>
          <w:numId w:val="29"/>
        </w:numPr>
        <w:spacing w:after="120" w:line="264" w:lineRule="auto"/>
      </w:pPr>
      <w:r w:rsidRPr="00D85B3D">
        <w:t>W</w:t>
      </w:r>
      <w:r w:rsidR="00F633C0" w:rsidRPr="00D85B3D">
        <w:t xml:space="preserve">orkforce initiatives are aligned to delivering the Oxfordshire Way, with a focus on preventative, strengths-based </w:t>
      </w:r>
      <w:r w:rsidR="008F1BCE" w:rsidRPr="00D85B3D">
        <w:t>working,</w:t>
      </w:r>
      <w:r w:rsidR="00F633C0" w:rsidRPr="00D85B3D">
        <w:t xml:space="preserve"> and a commitment to co-production</w:t>
      </w:r>
    </w:p>
    <w:p w14:paraId="75CFE1BD" w14:textId="3A6D9588" w:rsidR="00F3419C" w:rsidRPr="00D85B3D" w:rsidRDefault="00F633C0" w:rsidP="002D7955">
      <w:pPr>
        <w:pStyle w:val="ListParagraph"/>
        <w:numPr>
          <w:ilvl w:val="0"/>
          <w:numId w:val="29"/>
        </w:numPr>
      </w:pPr>
      <w:r w:rsidRPr="00D85B3D">
        <w:t>Care and support services deliver quality and consistency of care for residents, and enabl</w:t>
      </w:r>
      <w:r w:rsidR="00B65E28" w:rsidRPr="00D85B3D">
        <w:t>e</w:t>
      </w:r>
      <w:r w:rsidRPr="00D85B3D">
        <w:t xml:space="preserve"> </w:t>
      </w:r>
      <w:r w:rsidR="00B65E28" w:rsidRPr="00D85B3D">
        <w:t>people</w:t>
      </w:r>
      <w:r w:rsidRPr="00D85B3D">
        <w:t xml:space="preserve"> to live independently in their communities for as long as possible</w:t>
      </w:r>
      <w:r w:rsidR="00F3419C" w:rsidRPr="00D85B3D">
        <w:t xml:space="preserve"> </w:t>
      </w:r>
    </w:p>
    <w:p w14:paraId="0036D5AE" w14:textId="085CCA66" w:rsidR="00F3419C" w:rsidRPr="00D85B3D" w:rsidRDefault="00F3419C" w:rsidP="00F3419C"/>
    <w:p w14:paraId="05BD3F0A" w14:textId="6DEF45AC" w:rsidR="008164B7" w:rsidRDefault="0070743A" w:rsidP="00690A36">
      <w:pPr>
        <w:spacing w:before="360" w:after="120" w:line="276" w:lineRule="auto"/>
        <w:rPr>
          <w:rFonts w:eastAsia="Times New Roman"/>
          <w:lang w:eastAsia="en-GB"/>
        </w:rPr>
      </w:pPr>
      <w:r>
        <w:t>Th</w:t>
      </w:r>
      <w:r w:rsidR="00294AAD">
        <w:t>e</w:t>
      </w:r>
      <w:r>
        <w:t xml:space="preserve"> delivery plan will reflect activity that is already under</w:t>
      </w:r>
      <w:r w:rsidR="000B41C7">
        <w:t xml:space="preserve"> </w:t>
      </w:r>
      <w:r>
        <w:t xml:space="preserve">way as well as </w:t>
      </w:r>
      <w:r w:rsidR="00294AAD">
        <w:t>new initiatives.</w:t>
      </w:r>
      <w:r>
        <w:t xml:space="preserve"> </w:t>
      </w:r>
    </w:p>
    <w:p w14:paraId="02830096" w14:textId="68D9C73C" w:rsidR="005C0DB0" w:rsidRPr="00E2149B" w:rsidRDefault="00842382" w:rsidP="00690A36">
      <w:pPr>
        <w:spacing w:before="360" w:after="120" w:line="276" w:lineRule="auto"/>
        <w:rPr>
          <w:highlight w:val="yellow"/>
        </w:rPr>
      </w:pPr>
      <w:r>
        <w:rPr>
          <w:rFonts w:eastAsia="Times New Roman"/>
          <w:lang w:eastAsia="en-GB"/>
        </w:rPr>
        <w:t xml:space="preserve">The target date for a draft plan to be published is </w:t>
      </w:r>
      <w:r w:rsidR="003D5A05">
        <w:rPr>
          <w:rFonts w:eastAsia="Times New Roman"/>
          <w:lang w:eastAsia="en-GB"/>
        </w:rPr>
        <w:t xml:space="preserve">October </w:t>
      </w:r>
      <w:r>
        <w:rPr>
          <w:rFonts w:eastAsia="Times New Roman"/>
          <w:lang w:eastAsia="en-GB"/>
        </w:rPr>
        <w:t xml:space="preserve">2023. </w:t>
      </w:r>
      <w:r w:rsidR="00996826">
        <w:rPr>
          <w:rFonts w:eastAsia="Times New Roman"/>
          <w:lang w:eastAsia="en-GB"/>
        </w:rPr>
        <w:t>Once agreed, t</w:t>
      </w:r>
      <w:r w:rsidR="49DFEF5E" w:rsidRPr="00E2149B">
        <w:rPr>
          <w:rFonts w:eastAsia="Times New Roman"/>
          <w:lang w:eastAsia="en-GB"/>
        </w:rPr>
        <w:t>his plan will be reviewed regularly to ensure</w:t>
      </w:r>
      <w:r w:rsidR="00CD770B" w:rsidRPr="00E2149B">
        <w:rPr>
          <w:rFonts w:eastAsia="Times New Roman"/>
          <w:lang w:eastAsia="en-GB"/>
        </w:rPr>
        <w:t xml:space="preserve"> it</w:t>
      </w:r>
      <w:r w:rsidR="00CE0F49" w:rsidRPr="00E2149B">
        <w:rPr>
          <w:rFonts w:eastAsia="Times New Roman"/>
          <w:bCs/>
          <w:lang w:eastAsia="en-GB"/>
        </w:rPr>
        <w:t xml:space="preserve"> remains relevant and is responsive to future changes</w:t>
      </w:r>
      <w:r w:rsidR="00CE0F49" w:rsidRPr="00E2149B">
        <w:rPr>
          <w:rFonts w:eastAsia="Times New Roman"/>
          <w:lang w:eastAsia="en-GB"/>
        </w:rPr>
        <w:t xml:space="preserve"> including</w:t>
      </w:r>
      <w:r w:rsidR="00742939" w:rsidRPr="00E2149B">
        <w:rPr>
          <w:lang w:eastAsia="en-GB"/>
        </w:rPr>
        <w:t xml:space="preserve"> </w:t>
      </w:r>
      <w:r w:rsidR="00CE0F49" w:rsidRPr="00E2149B">
        <w:rPr>
          <w:lang w:eastAsia="en-GB"/>
        </w:rPr>
        <w:t>o</w:t>
      </w:r>
      <w:r w:rsidR="00742939" w:rsidRPr="00E2149B">
        <w:rPr>
          <w:lang w:eastAsia="en-GB"/>
        </w:rPr>
        <w:t>ther</w:t>
      </w:r>
      <w:r w:rsidR="00CE0F49" w:rsidRPr="00E2149B">
        <w:rPr>
          <w:lang w:eastAsia="en-GB"/>
        </w:rPr>
        <w:t xml:space="preserve"> strategies developed by</w:t>
      </w:r>
      <w:r w:rsidR="00742939" w:rsidRPr="00E2149B">
        <w:rPr>
          <w:lang w:eastAsia="en-GB"/>
        </w:rPr>
        <w:t xml:space="preserve"> other parts of the</w:t>
      </w:r>
      <w:r w:rsidR="00CE0F49" w:rsidRPr="00E2149B">
        <w:rPr>
          <w:lang w:eastAsia="en-GB"/>
        </w:rPr>
        <w:t xml:space="preserve"> local</w:t>
      </w:r>
      <w:r w:rsidR="00742939" w:rsidRPr="00E2149B">
        <w:rPr>
          <w:lang w:eastAsia="en-GB"/>
        </w:rPr>
        <w:t xml:space="preserve"> </w:t>
      </w:r>
      <w:r w:rsidR="00CE0F49" w:rsidRPr="00E2149B">
        <w:rPr>
          <w:lang w:eastAsia="en-GB"/>
        </w:rPr>
        <w:t>health and social care</w:t>
      </w:r>
      <w:r w:rsidR="00742939" w:rsidRPr="00E2149B">
        <w:rPr>
          <w:lang w:eastAsia="en-GB"/>
        </w:rPr>
        <w:t xml:space="preserve"> system, particularly </w:t>
      </w:r>
      <w:r w:rsidR="00CE0F49" w:rsidRPr="00E2149B">
        <w:rPr>
          <w:lang w:eastAsia="en-GB"/>
        </w:rPr>
        <w:t xml:space="preserve">the </w:t>
      </w:r>
      <w:r w:rsidR="000D2FEA" w:rsidRPr="00E2149B">
        <w:rPr>
          <w:lang w:eastAsia="en-GB"/>
        </w:rPr>
        <w:t xml:space="preserve">Buckinghamshire, Oxfordshire and Berkshire West </w:t>
      </w:r>
      <w:r w:rsidR="00CE0F49" w:rsidRPr="00E2149B">
        <w:rPr>
          <w:lang w:eastAsia="en-GB"/>
        </w:rPr>
        <w:t>Integrated Care Board’s People Strategy</w:t>
      </w:r>
      <w:r w:rsidR="000D2FEA" w:rsidRPr="00E2149B">
        <w:rPr>
          <w:lang w:eastAsia="en-GB"/>
        </w:rPr>
        <w:t>.</w:t>
      </w:r>
    </w:p>
    <w:sectPr w:rsidR="005C0DB0" w:rsidRPr="00E2149B" w:rsidSect="00736F1E">
      <w:headerReference w:type="default" r:id="rId29"/>
      <w:footerReference w:type="default" r:id="rId3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6E92" w14:textId="77777777" w:rsidR="00FC0331" w:rsidRDefault="00FC0331" w:rsidP="00D6380A">
      <w:r>
        <w:separator/>
      </w:r>
    </w:p>
  </w:endnote>
  <w:endnote w:type="continuationSeparator" w:id="0">
    <w:p w14:paraId="0C87F293" w14:textId="77777777" w:rsidR="00FC0331" w:rsidRDefault="00FC0331" w:rsidP="00D6380A">
      <w:r>
        <w:continuationSeparator/>
      </w:r>
    </w:p>
  </w:endnote>
  <w:endnote w:type="continuationNotice" w:id="1">
    <w:p w14:paraId="6380FE5F" w14:textId="77777777" w:rsidR="00FC0331" w:rsidRDefault="00FC0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087290"/>
      <w:docPartObj>
        <w:docPartGallery w:val="Page Numbers (Bottom of Page)"/>
        <w:docPartUnique/>
      </w:docPartObj>
    </w:sdtPr>
    <w:sdtEndPr/>
    <w:sdtContent>
      <w:p w14:paraId="6B6D4287" w14:textId="21E40C4C" w:rsidR="00D6380A" w:rsidRDefault="00D6380A">
        <w:pPr>
          <w:pStyle w:val="Footer"/>
          <w:jc w:val="right"/>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 xml:space="preserve"> </w:t>
        </w:r>
      </w:p>
    </w:sdtContent>
  </w:sdt>
  <w:p w14:paraId="00023944" w14:textId="77777777" w:rsidR="00D6380A" w:rsidRDefault="00D6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7A9FD" w14:textId="77777777" w:rsidR="00FC0331" w:rsidRDefault="00FC0331" w:rsidP="00D6380A">
      <w:r>
        <w:separator/>
      </w:r>
    </w:p>
  </w:footnote>
  <w:footnote w:type="continuationSeparator" w:id="0">
    <w:p w14:paraId="7D120BD5" w14:textId="77777777" w:rsidR="00FC0331" w:rsidRDefault="00FC0331" w:rsidP="00D6380A">
      <w:r>
        <w:continuationSeparator/>
      </w:r>
    </w:p>
  </w:footnote>
  <w:footnote w:type="continuationNotice" w:id="1">
    <w:p w14:paraId="604CA01D" w14:textId="77777777" w:rsidR="00FC0331" w:rsidRDefault="00FC0331"/>
  </w:footnote>
  <w:footnote w:id="2">
    <w:p w14:paraId="1107BA5D" w14:textId="41D70AD2" w:rsidR="00501A8E" w:rsidRDefault="00501A8E">
      <w:pPr>
        <w:pStyle w:val="FootnoteText"/>
      </w:pPr>
      <w:r>
        <w:rPr>
          <w:rStyle w:val="FootnoteReference"/>
        </w:rPr>
        <w:footnoteRef/>
      </w:r>
      <w:r>
        <w:t xml:space="preserve"> </w:t>
      </w:r>
      <w:hyperlink r:id="rId1" w:history="1">
        <w:r>
          <w:rPr>
            <w:rStyle w:val="Hyperlink"/>
          </w:rPr>
          <w:t>Oxfordshire</w:t>
        </w:r>
        <w:r w:rsidR="000978CC">
          <w:rPr>
            <w:rStyle w:val="Hyperlink"/>
          </w:rPr>
          <w:t xml:space="preserve"> </w:t>
        </w:r>
        <w:r>
          <w:rPr>
            <w:rStyle w:val="Hyperlink"/>
          </w:rPr>
          <w:t>Summary (skillsforcare.org.uk)</w:t>
        </w:r>
      </w:hyperlink>
    </w:p>
  </w:footnote>
  <w:footnote w:id="3">
    <w:p w14:paraId="5CF54CD2" w14:textId="4D86B5BA" w:rsidR="00D7153A" w:rsidRDefault="00D7153A">
      <w:pPr>
        <w:pStyle w:val="FootnoteText"/>
      </w:pPr>
      <w:r>
        <w:rPr>
          <w:rStyle w:val="FootnoteReference"/>
        </w:rPr>
        <w:footnoteRef/>
      </w:r>
      <w:r>
        <w:t xml:space="preserve"> </w:t>
      </w:r>
      <w:hyperlink r:id="rId2" w:history="1">
        <w:r>
          <w:rPr>
            <w:rStyle w:val="Hyperlink"/>
          </w:rPr>
          <w:t>Social care 360: workforce and carers | The King's Fund (kingsfund.org.uk)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6F24" w14:textId="328F3F15" w:rsidR="00C40773" w:rsidRDefault="00C40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ABD"/>
    <w:multiLevelType w:val="hybridMultilevel"/>
    <w:tmpl w:val="8DD6B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D2B1E"/>
    <w:multiLevelType w:val="hybridMultilevel"/>
    <w:tmpl w:val="EBBE6018"/>
    <w:lvl w:ilvl="0" w:tplc="AAB8CDC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F2869"/>
    <w:multiLevelType w:val="multilevel"/>
    <w:tmpl w:val="D722A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3426F"/>
    <w:multiLevelType w:val="hybridMultilevel"/>
    <w:tmpl w:val="CF4A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5312B"/>
    <w:multiLevelType w:val="multilevel"/>
    <w:tmpl w:val="0E041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11D86"/>
    <w:multiLevelType w:val="multilevel"/>
    <w:tmpl w:val="A7643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B6073"/>
    <w:multiLevelType w:val="hybridMultilevel"/>
    <w:tmpl w:val="FB6C14D6"/>
    <w:lvl w:ilvl="0" w:tplc="EA1E39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02234"/>
    <w:multiLevelType w:val="hybridMultilevel"/>
    <w:tmpl w:val="A30E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D1D81"/>
    <w:multiLevelType w:val="hybridMultilevel"/>
    <w:tmpl w:val="40FC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A2AF4"/>
    <w:multiLevelType w:val="hybridMultilevel"/>
    <w:tmpl w:val="1D78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971B0"/>
    <w:multiLevelType w:val="multilevel"/>
    <w:tmpl w:val="A02C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C39"/>
    <w:multiLevelType w:val="multilevel"/>
    <w:tmpl w:val="3998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27917"/>
    <w:multiLevelType w:val="multilevel"/>
    <w:tmpl w:val="74683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4367F"/>
    <w:multiLevelType w:val="hybridMultilevel"/>
    <w:tmpl w:val="3176C16E"/>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B750ADA"/>
    <w:multiLevelType w:val="hybridMultilevel"/>
    <w:tmpl w:val="FD66C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C436716"/>
    <w:multiLevelType w:val="multilevel"/>
    <w:tmpl w:val="14766A90"/>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4DFD22B8"/>
    <w:multiLevelType w:val="hybridMultilevel"/>
    <w:tmpl w:val="5F608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BC09F7"/>
    <w:multiLevelType w:val="multilevel"/>
    <w:tmpl w:val="E0CA5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CC075C"/>
    <w:multiLevelType w:val="hybridMultilevel"/>
    <w:tmpl w:val="E430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D5E3C"/>
    <w:multiLevelType w:val="hybridMultilevel"/>
    <w:tmpl w:val="24041CA8"/>
    <w:lvl w:ilvl="0" w:tplc="54047244">
      <w:start w:val="1"/>
      <w:numFmt w:val="bullet"/>
      <w:lvlText w:val=""/>
      <w:lvlJc w:val="left"/>
      <w:pPr>
        <w:tabs>
          <w:tab w:val="num" w:pos="720"/>
        </w:tabs>
        <w:ind w:left="720" w:hanging="360"/>
      </w:pPr>
      <w:rPr>
        <w:rFonts w:ascii="Symbol" w:hAnsi="Symbol" w:hint="default"/>
      </w:rPr>
    </w:lvl>
    <w:lvl w:ilvl="1" w:tplc="3E5CBFE2" w:tentative="1">
      <w:start w:val="1"/>
      <w:numFmt w:val="bullet"/>
      <w:lvlText w:val=""/>
      <w:lvlJc w:val="left"/>
      <w:pPr>
        <w:tabs>
          <w:tab w:val="num" w:pos="1440"/>
        </w:tabs>
        <w:ind w:left="1440" w:hanging="360"/>
      </w:pPr>
      <w:rPr>
        <w:rFonts w:ascii="Symbol" w:hAnsi="Symbol" w:hint="default"/>
      </w:rPr>
    </w:lvl>
    <w:lvl w:ilvl="2" w:tplc="B4024B52" w:tentative="1">
      <w:start w:val="1"/>
      <w:numFmt w:val="bullet"/>
      <w:lvlText w:val=""/>
      <w:lvlJc w:val="left"/>
      <w:pPr>
        <w:tabs>
          <w:tab w:val="num" w:pos="2160"/>
        </w:tabs>
        <w:ind w:left="2160" w:hanging="360"/>
      </w:pPr>
      <w:rPr>
        <w:rFonts w:ascii="Symbol" w:hAnsi="Symbol" w:hint="default"/>
      </w:rPr>
    </w:lvl>
    <w:lvl w:ilvl="3" w:tplc="FCB0A7E4" w:tentative="1">
      <w:start w:val="1"/>
      <w:numFmt w:val="bullet"/>
      <w:lvlText w:val=""/>
      <w:lvlJc w:val="left"/>
      <w:pPr>
        <w:tabs>
          <w:tab w:val="num" w:pos="2880"/>
        </w:tabs>
        <w:ind w:left="2880" w:hanging="360"/>
      </w:pPr>
      <w:rPr>
        <w:rFonts w:ascii="Symbol" w:hAnsi="Symbol" w:hint="default"/>
      </w:rPr>
    </w:lvl>
    <w:lvl w:ilvl="4" w:tplc="86F61736" w:tentative="1">
      <w:start w:val="1"/>
      <w:numFmt w:val="bullet"/>
      <w:lvlText w:val=""/>
      <w:lvlJc w:val="left"/>
      <w:pPr>
        <w:tabs>
          <w:tab w:val="num" w:pos="3600"/>
        </w:tabs>
        <w:ind w:left="3600" w:hanging="360"/>
      </w:pPr>
      <w:rPr>
        <w:rFonts w:ascii="Symbol" w:hAnsi="Symbol" w:hint="default"/>
      </w:rPr>
    </w:lvl>
    <w:lvl w:ilvl="5" w:tplc="F2589F50" w:tentative="1">
      <w:start w:val="1"/>
      <w:numFmt w:val="bullet"/>
      <w:lvlText w:val=""/>
      <w:lvlJc w:val="left"/>
      <w:pPr>
        <w:tabs>
          <w:tab w:val="num" w:pos="4320"/>
        </w:tabs>
        <w:ind w:left="4320" w:hanging="360"/>
      </w:pPr>
      <w:rPr>
        <w:rFonts w:ascii="Symbol" w:hAnsi="Symbol" w:hint="default"/>
      </w:rPr>
    </w:lvl>
    <w:lvl w:ilvl="6" w:tplc="46BE4F64" w:tentative="1">
      <w:start w:val="1"/>
      <w:numFmt w:val="bullet"/>
      <w:lvlText w:val=""/>
      <w:lvlJc w:val="left"/>
      <w:pPr>
        <w:tabs>
          <w:tab w:val="num" w:pos="5040"/>
        </w:tabs>
        <w:ind w:left="5040" w:hanging="360"/>
      </w:pPr>
      <w:rPr>
        <w:rFonts w:ascii="Symbol" w:hAnsi="Symbol" w:hint="default"/>
      </w:rPr>
    </w:lvl>
    <w:lvl w:ilvl="7" w:tplc="373C6FA0" w:tentative="1">
      <w:start w:val="1"/>
      <w:numFmt w:val="bullet"/>
      <w:lvlText w:val=""/>
      <w:lvlJc w:val="left"/>
      <w:pPr>
        <w:tabs>
          <w:tab w:val="num" w:pos="5760"/>
        </w:tabs>
        <w:ind w:left="5760" w:hanging="360"/>
      </w:pPr>
      <w:rPr>
        <w:rFonts w:ascii="Symbol" w:hAnsi="Symbol" w:hint="default"/>
      </w:rPr>
    </w:lvl>
    <w:lvl w:ilvl="8" w:tplc="AA5613D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CB258E9"/>
    <w:multiLevelType w:val="hybridMultilevel"/>
    <w:tmpl w:val="850E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E0DE7"/>
    <w:multiLevelType w:val="multilevel"/>
    <w:tmpl w:val="F5822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0D1BE1"/>
    <w:multiLevelType w:val="hybridMultilevel"/>
    <w:tmpl w:val="91BEC1F0"/>
    <w:lvl w:ilvl="0" w:tplc="3A52AB7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D8A2492"/>
    <w:multiLevelType w:val="hybridMultilevel"/>
    <w:tmpl w:val="6DFA763C"/>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64173CC"/>
    <w:multiLevelType w:val="multilevel"/>
    <w:tmpl w:val="31329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C95A50"/>
    <w:multiLevelType w:val="multilevel"/>
    <w:tmpl w:val="DEA4B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E357D3"/>
    <w:multiLevelType w:val="multilevel"/>
    <w:tmpl w:val="2034B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61260A"/>
    <w:multiLevelType w:val="multilevel"/>
    <w:tmpl w:val="2A12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DC73C2"/>
    <w:multiLevelType w:val="hybridMultilevel"/>
    <w:tmpl w:val="9EA0C5C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2A30D6"/>
    <w:multiLevelType w:val="hybridMultilevel"/>
    <w:tmpl w:val="698C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540109"/>
    <w:multiLevelType w:val="hybridMultilevel"/>
    <w:tmpl w:val="E83C0D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56BE5"/>
    <w:multiLevelType w:val="multilevel"/>
    <w:tmpl w:val="67CC88F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160072517">
    <w:abstractNumId w:val="20"/>
  </w:num>
  <w:num w:numId="2" w16cid:durableId="170948391">
    <w:abstractNumId w:val="30"/>
  </w:num>
  <w:num w:numId="3" w16cid:durableId="731343761">
    <w:abstractNumId w:val="7"/>
  </w:num>
  <w:num w:numId="4" w16cid:durableId="1690184678">
    <w:abstractNumId w:val="3"/>
  </w:num>
  <w:num w:numId="5" w16cid:durableId="140856765">
    <w:abstractNumId w:val="28"/>
  </w:num>
  <w:num w:numId="6" w16cid:durableId="1633829858">
    <w:abstractNumId w:val="22"/>
  </w:num>
  <w:num w:numId="7" w16cid:durableId="556092975">
    <w:abstractNumId w:val="9"/>
  </w:num>
  <w:num w:numId="8" w16cid:durableId="2108649821">
    <w:abstractNumId w:val="8"/>
  </w:num>
  <w:num w:numId="9" w16cid:durableId="1534222190">
    <w:abstractNumId w:val="29"/>
  </w:num>
  <w:num w:numId="10" w16cid:durableId="1425683074">
    <w:abstractNumId w:val="6"/>
  </w:num>
  <w:num w:numId="11" w16cid:durableId="385682870">
    <w:abstractNumId w:val="19"/>
  </w:num>
  <w:num w:numId="12" w16cid:durableId="1432504281">
    <w:abstractNumId w:val="18"/>
  </w:num>
  <w:num w:numId="13" w16cid:durableId="378669018">
    <w:abstractNumId w:val="1"/>
  </w:num>
  <w:num w:numId="14" w16cid:durableId="1607884920">
    <w:abstractNumId w:val="13"/>
  </w:num>
  <w:num w:numId="15" w16cid:durableId="1097217702">
    <w:abstractNumId w:val="31"/>
  </w:num>
  <w:num w:numId="16" w16cid:durableId="876821406">
    <w:abstractNumId w:val="2"/>
  </w:num>
  <w:num w:numId="17" w16cid:durableId="1539927968">
    <w:abstractNumId w:val="17"/>
  </w:num>
  <w:num w:numId="18" w16cid:durableId="2098551193">
    <w:abstractNumId w:val="11"/>
  </w:num>
  <w:num w:numId="19" w16cid:durableId="79182993">
    <w:abstractNumId w:val="5"/>
  </w:num>
  <w:num w:numId="20" w16cid:durableId="954361898">
    <w:abstractNumId w:val="21"/>
  </w:num>
  <w:num w:numId="21" w16cid:durableId="1502348779">
    <w:abstractNumId w:val="4"/>
  </w:num>
  <w:num w:numId="22" w16cid:durableId="823087465">
    <w:abstractNumId w:val="26"/>
  </w:num>
  <w:num w:numId="23" w16cid:durableId="426266449">
    <w:abstractNumId w:val="10"/>
  </w:num>
  <w:num w:numId="24" w16cid:durableId="403573316">
    <w:abstractNumId w:val="12"/>
  </w:num>
  <w:num w:numId="25" w16cid:durableId="387339835">
    <w:abstractNumId w:val="15"/>
  </w:num>
  <w:num w:numId="26" w16cid:durableId="1745297733">
    <w:abstractNumId w:val="25"/>
  </w:num>
  <w:num w:numId="27" w16cid:durableId="167526951">
    <w:abstractNumId w:val="24"/>
  </w:num>
  <w:num w:numId="28" w16cid:durableId="1839923628">
    <w:abstractNumId w:val="0"/>
  </w:num>
  <w:num w:numId="29" w16cid:durableId="807160801">
    <w:abstractNumId w:val="23"/>
  </w:num>
  <w:num w:numId="30" w16cid:durableId="2073263319">
    <w:abstractNumId w:val="27"/>
  </w:num>
  <w:num w:numId="31" w16cid:durableId="1848135753">
    <w:abstractNumId w:val="16"/>
  </w:num>
  <w:num w:numId="32" w16cid:durableId="693115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4A"/>
    <w:rsid w:val="00000C60"/>
    <w:rsid w:val="000200D3"/>
    <w:rsid w:val="00023E05"/>
    <w:rsid w:val="00032074"/>
    <w:rsid w:val="00032FDF"/>
    <w:rsid w:val="00060006"/>
    <w:rsid w:val="00061CF5"/>
    <w:rsid w:val="00067AA4"/>
    <w:rsid w:val="000736DA"/>
    <w:rsid w:val="000758C7"/>
    <w:rsid w:val="00092A15"/>
    <w:rsid w:val="00092EB7"/>
    <w:rsid w:val="00093D13"/>
    <w:rsid w:val="000978CC"/>
    <w:rsid w:val="000A724F"/>
    <w:rsid w:val="000B41C7"/>
    <w:rsid w:val="000B4310"/>
    <w:rsid w:val="000D2FEA"/>
    <w:rsid w:val="000E1E03"/>
    <w:rsid w:val="000E32A0"/>
    <w:rsid w:val="000F5CAF"/>
    <w:rsid w:val="00112971"/>
    <w:rsid w:val="00133741"/>
    <w:rsid w:val="001362E4"/>
    <w:rsid w:val="001531AB"/>
    <w:rsid w:val="00175927"/>
    <w:rsid w:val="00183387"/>
    <w:rsid w:val="00191B69"/>
    <w:rsid w:val="00193690"/>
    <w:rsid w:val="0019632A"/>
    <w:rsid w:val="001A1F27"/>
    <w:rsid w:val="001A72F1"/>
    <w:rsid w:val="001B4E05"/>
    <w:rsid w:val="001B529D"/>
    <w:rsid w:val="001B52EE"/>
    <w:rsid w:val="001B6CC7"/>
    <w:rsid w:val="001E5579"/>
    <w:rsid w:val="001E6BA9"/>
    <w:rsid w:val="001F4020"/>
    <w:rsid w:val="00200D88"/>
    <w:rsid w:val="002010C7"/>
    <w:rsid w:val="00203721"/>
    <w:rsid w:val="00205818"/>
    <w:rsid w:val="00213860"/>
    <w:rsid w:val="002221F2"/>
    <w:rsid w:val="00225DB7"/>
    <w:rsid w:val="00230DD4"/>
    <w:rsid w:val="00236964"/>
    <w:rsid w:val="00245453"/>
    <w:rsid w:val="002461C9"/>
    <w:rsid w:val="00257D1C"/>
    <w:rsid w:val="0026287A"/>
    <w:rsid w:val="00281E07"/>
    <w:rsid w:val="00282B40"/>
    <w:rsid w:val="00283B04"/>
    <w:rsid w:val="0028477F"/>
    <w:rsid w:val="0028739E"/>
    <w:rsid w:val="00293BF6"/>
    <w:rsid w:val="00294820"/>
    <w:rsid w:val="00294AAD"/>
    <w:rsid w:val="00295625"/>
    <w:rsid w:val="002A0E61"/>
    <w:rsid w:val="002A484A"/>
    <w:rsid w:val="002C241B"/>
    <w:rsid w:val="002C2F07"/>
    <w:rsid w:val="002D43CE"/>
    <w:rsid w:val="002D7955"/>
    <w:rsid w:val="002E2268"/>
    <w:rsid w:val="002F0C84"/>
    <w:rsid w:val="002F257E"/>
    <w:rsid w:val="00302164"/>
    <w:rsid w:val="003117D3"/>
    <w:rsid w:val="00313A3B"/>
    <w:rsid w:val="00323794"/>
    <w:rsid w:val="00332F55"/>
    <w:rsid w:val="003356B9"/>
    <w:rsid w:val="003436F1"/>
    <w:rsid w:val="0034789D"/>
    <w:rsid w:val="00351ACB"/>
    <w:rsid w:val="00366D57"/>
    <w:rsid w:val="0037385C"/>
    <w:rsid w:val="00384AE5"/>
    <w:rsid w:val="003852A8"/>
    <w:rsid w:val="003A2D03"/>
    <w:rsid w:val="003A4B39"/>
    <w:rsid w:val="003B15EB"/>
    <w:rsid w:val="003C4900"/>
    <w:rsid w:val="003D107F"/>
    <w:rsid w:val="003D5A05"/>
    <w:rsid w:val="003E0D5A"/>
    <w:rsid w:val="003E4056"/>
    <w:rsid w:val="003F79A9"/>
    <w:rsid w:val="004000D7"/>
    <w:rsid w:val="0040707F"/>
    <w:rsid w:val="00437A76"/>
    <w:rsid w:val="00446FCD"/>
    <w:rsid w:val="00453A7E"/>
    <w:rsid w:val="00453B3B"/>
    <w:rsid w:val="00456F75"/>
    <w:rsid w:val="00464E1D"/>
    <w:rsid w:val="0047266B"/>
    <w:rsid w:val="004766CC"/>
    <w:rsid w:val="0048151E"/>
    <w:rsid w:val="0049518D"/>
    <w:rsid w:val="004958E5"/>
    <w:rsid w:val="0049591F"/>
    <w:rsid w:val="004A287E"/>
    <w:rsid w:val="004A3BDB"/>
    <w:rsid w:val="004B19CF"/>
    <w:rsid w:val="004C0E1F"/>
    <w:rsid w:val="004C6DCF"/>
    <w:rsid w:val="004C70BA"/>
    <w:rsid w:val="004D3955"/>
    <w:rsid w:val="004D75CA"/>
    <w:rsid w:val="004E4691"/>
    <w:rsid w:val="004E7C38"/>
    <w:rsid w:val="00501A8E"/>
    <w:rsid w:val="00504E43"/>
    <w:rsid w:val="00506D8F"/>
    <w:rsid w:val="00512BEA"/>
    <w:rsid w:val="00522771"/>
    <w:rsid w:val="00542C95"/>
    <w:rsid w:val="00545DEA"/>
    <w:rsid w:val="00551FF8"/>
    <w:rsid w:val="005606CB"/>
    <w:rsid w:val="005905F8"/>
    <w:rsid w:val="005976C9"/>
    <w:rsid w:val="005B4A64"/>
    <w:rsid w:val="005C0DB0"/>
    <w:rsid w:val="005D2273"/>
    <w:rsid w:val="005E5DDD"/>
    <w:rsid w:val="005E7D7F"/>
    <w:rsid w:val="005F0911"/>
    <w:rsid w:val="006128CF"/>
    <w:rsid w:val="00615E59"/>
    <w:rsid w:val="0062087D"/>
    <w:rsid w:val="0063121A"/>
    <w:rsid w:val="006357C9"/>
    <w:rsid w:val="00635C65"/>
    <w:rsid w:val="006423C8"/>
    <w:rsid w:val="00646AFC"/>
    <w:rsid w:val="00651BC5"/>
    <w:rsid w:val="0065266E"/>
    <w:rsid w:val="00652A38"/>
    <w:rsid w:val="00653F0F"/>
    <w:rsid w:val="0066288B"/>
    <w:rsid w:val="00664DA4"/>
    <w:rsid w:val="00671326"/>
    <w:rsid w:val="0067244C"/>
    <w:rsid w:val="006816B9"/>
    <w:rsid w:val="00687CB1"/>
    <w:rsid w:val="00690A36"/>
    <w:rsid w:val="0069728A"/>
    <w:rsid w:val="006B17F8"/>
    <w:rsid w:val="006B407A"/>
    <w:rsid w:val="006C40DB"/>
    <w:rsid w:val="006D1758"/>
    <w:rsid w:val="006E6E15"/>
    <w:rsid w:val="006F4070"/>
    <w:rsid w:val="00701EF5"/>
    <w:rsid w:val="00706920"/>
    <w:rsid w:val="0070743A"/>
    <w:rsid w:val="007231A2"/>
    <w:rsid w:val="00735A96"/>
    <w:rsid w:val="00736F1E"/>
    <w:rsid w:val="00742939"/>
    <w:rsid w:val="00747F40"/>
    <w:rsid w:val="00763BDA"/>
    <w:rsid w:val="00770846"/>
    <w:rsid w:val="007774FE"/>
    <w:rsid w:val="007806DB"/>
    <w:rsid w:val="00784E4D"/>
    <w:rsid w:val="007908F4"/>
    <w:rsid w:val="00794ACC"/>
    <w:rsid w:val="007A0E15"/>
    <w:rsid w:val="007A1A19"/>
    <w:rsid w:val="007C3602"/>
    <w:rsid w:val="007C4CF4"/>
    <w:rsid w:val="007C757D"/>
    <w:rsid w:val="007D5893"/>
    <w:rsid w:val="007E2E64"/>
    <w:rsid w:val="007E66EC"/>
    <w:rsid w:val="007F1B1A"/>
    <w:rsid w:val="007F64E8"/>
    <w:rsid w:val="007F6C2B"/>
    <w:rsid w:val="008033E7"/>
    <w:rsid w:val="0080385A"/>
    <w:rsid w:val="008164B7"/>
    <w:rsid w:val="00816A6C"/>
    <w:rsid w:val="00825CFD"/>
    <w:rsid w:val="008275C2"/>
    <w:rsid w:val="008306FC"/>
    <w:rsid w:val="00835578"/>
    <w:rsid w:val="00840E73"/>
    <w:rsid w:val="008420BC"/>
    <w:rsid w:val="00842382"/>
    <w:rsid w:val="008526AB"/>
    <w:rsid w:val="0085687C"/>
    <w:rsid w:val="00874111"/>
    <w:rsid w:val="0087469C"/>
    <w:rsid w:val="008806CE"/>
    <w:rsid w:val="00882E7B"/>
    <w:rsid w:val="00887743"/>
    <w:rsid w:val="00887B3C"/>
    <w:rsid w:val="0089708F"/>
    <w:rsid w:val="008A4B88"/>
    <w:rsid w:val="008A7F28"/>
    <w:rsid w:val="008C1394"/>
    <w:rsid w:val="008D52B7"/>
    <w:rsid w:val="008D5F6F"/>
    <w:rsid w:val="008E3567"/>
    <w:rsid w:val="008F1BCE"/>
    <w:rsid w:val="008F4055"/>
    <w:rsid w:val="008F4F21"/>
    <w:rsid w:val="00906248"/>
    <w:rsid w:val="009062C6"/>
    <w:rsid w:val="00915202"/>
    <w:rsid w:val="00916F76"/>
    <w:rsid w:val="00922F85"/>
    <w:rsid w:val="00933756"/>
    <w:rsid w:val="00933BB3"/>
    <w:rsid w:val="00943262"/>
    <w:rsid w:val="00944F31"/>
    <w:rsid w:val="00946115"/>
    <w:rsid w:val="00973622"/>
    <w:rsid w:val="00983ADF"/>
    <w:rsid w:val="00984071"/>
    <w:rsid w:val="00985D06"/>
    <w:rsid w:val="00992EDC"/>
    <w:rsid w:val="00994853"/>
    <w:rsid w:val="00996826"/>
    <w:rsid w:val="009A25DA"/>
    <w:rsid w:val="009D39C4"/>
    <w:rsid w:val="009D3A5E"/>
    <w:rsid w:val="009F54B5"/>
    <w:rsid w:val="00A02FF4"/>
    <w:rsid w:val="00A06276"/>
    <w:rsid w:val="00A15476"/>
    <w:rsid w:val="00A16727"/>
    <w:rsid w:val="00A33897"/>
    <w:rsid w:val="00A42EB3"/>
    <w:rsid w:val="00A4772A"/>
    <w:rsid w:val="00A556A4"/>
    <w:rsid w:val="00A57CF2"/>
    <w:rsid w:val="00A604D2"/>
    <w:rsid w:val="00A67375"/>
    <w:rsid w:val="00A74AC6"/>
    <w:rsid w:val="00A92A06"/>
    <w:rsid w:val="00A93548"/>
    <w:rsid w:val="00A95485"/>
    <w:rsid w:val="00A96841"/>
    <w:rsid w:val="00AA3186"/>
    <w:rsid w:val="00AB110C"/>
    <w:rsid w:val="00AD179F"/>
    <w:rsid w:val="00AD5123"/>
    <w:rsid w:val="00AD6C51"/>
    <w:rsid w:val="00B237C3"/>
    <w:rsid w:val="00B250C4"/>
    <w:rsid w:val="00B33558"/>
    <w:rsid w:val="00B34868"/>
    <w:rsid w:val="00B44D38"/>
    <w:rsid w:val="00B553A3"/>
    <w:rsid w:val="00B60CC4"/>
    <w:rsid w:val="00B615BA"/>
    <w:rsid w:val="00B6456B"/>
    <w:rsid w:val="00B65E28"/>
    <w:rsid w:val="00B67037"/>
    <w:rsid w:val="00B67620"/>
    <w:rsid w:val="00B93F24"/>
    <w:rsid w:val="00BB063D"/>
    <w:rsid w:val="00BB08F7"/>
    <w:rsid w:val="00BB1EE4"/>
    <w:rsid w:val="00BC31CC"/>
    <w:rsid w:val="00BC3DDB"/>
    <w:rsid w:val="00BC544A"/>
    <w:rsid w:val="00BC5DD6"/>
    <w:rsid w:val="00BD3B38"/>
    <w:rsid w:val="00BD517F"/>
    <w:rsid w:val="00BD68FE"/>
    <w:rsid w:val="00BF2BCB"/>
    <w:rsid w:val="00C0453B"/>
    <w:rsid w:val="00C046F0"/>
    <w:rsid w:val="00C269C6"/>
    <w:rsid w:val="00C40773"/>
    <w:rsid w:val="00C42752"/>
    <w:rsid w:val="00C4332A"/>
    <w:rsid w:val="00C54EFA"/>
    <w:rsid w:val="00C808B8"/>
    <w:rsid w:val="00C80CA5"/>
    <w:rsid w:val="00C8744A"/>
    <w:rsid w:val="00C91C5F"/>
    <w:rsid w:val="00C935D6"/>
    <w:rsid w:val="00CA0E01"/>
    <w:rsid w:val="00CA75F2"/>
    <w:rsid w:val="00CB08B7"/>
    <w:rsid w:val="00CB0F48"/>
    <w:rsid w:val="00CB1A82"/>
    <w:rsid w:val="00CB3E67"/>
    <w:rsid w:val="00CB6CB5"/>
    <w:rsid w:val="00CD770B"/>
    <w:rsid w:val="00CE0F49"/>
    <w:rsid w:val="00CE2940"/>
    <w:rsid w:val="00D05D9F"/>
    <w:rsid w:val="00D26FF5"/>
    <w:rsid w:val="00D31A5F"/>
    <w:rsid w:val="00D3230C"/>
    <w:rsid w:val="00D342B0"/>
    <w:rsid w:val="00D35921"/>
    <w:rsid w:val="00D41608"/>
    <w:rsid w:val="00D43869"/>
    <w:rsid w:val="00D455F5"/>
    <w:rsid w:val="00D47E26"/>
    <w:rsid w:val="00D6380A"/>
    <w:rsid w:val="00D648E1"/>
    <w:rsid w:val="00D67F44"/>
    <w:rsid w:val="00D7153A"/>
    <w:rsid w:val="00D72D24"/>
    <w:rsid w:val="00D770A0"/>
    <w:rsid w:val="00D80F02"/>
    <w:rsid w:val="00D85B3D"/>
    <w:rsid w:val="00D86110"/>
    <w:rsid w:val="00D95A6F"/>
    <w:rsid w:val="00DA08CB"/>
    <w:rsid w:val="00DA37AC"/>
    <w:rsid w:val="00DB1FCD"/>
    <w:rsid w:val="00DB27B5"/>
    <w:rsid w:val="00DB6841"/>
    <w:rsid w:val="00DB69AF"/>
    <w:rsid w:val="00DD7DD6"/>
    <w:rsid w:val="00DE1F10"/>
    <w:rsid w:val="00DE2DE6"/>
    <w:rsid w:val="00DE36D6"/>
    <w:rsid w:val="00DF56F8"/>
    <w:rsid w:val="00DF6DBD"/>
    <w:rsid w:val="00E12150"/>
    <w:rsid w:val="00E2149B"/>
    <w:rsid w:val="00E265FF"/>
    <w:rsid w:val="00E2761B"/>
    <w:rsid w:val="00E43DCE"/>
    <w:rsid w:val="00E46FC5"/>
    <w:rsid w:val="00E55CA9"/>
    <w:rsid w:val="00E60AE9"/>
    <w:rsid w:val="00E61A60"/>
    <w:rsid w:val="00E72025"/>
    <w:rsid w:val="00E7636C"/>
    <w:rsid w:val="00E76AE9"/>
    <w:rsid w:val="00E92C2B"/>
    <w:rsid w:val="00E97DC0"/>
    <w:rsid w:val="00EA3818"/>
    <w:rsid w:val="00EA5E14"/>
    <w:rsid w:val="00EB0CE7"/>
    <w:rsid w:val="00EB1B7B"/>
    <w:rsid w:val="00EB2387"/>
    <w:rsid w:val="00ED1C7A"/>
    <w:rsid w:val="00EE1AF5"/>
    <w:rsid w:val="00EE6E89"/>
    <w:rsid w:val="00EE7ECC"/>
    <w:rsid w:val="00EF3CB7"/>
    <w:rsid w:val="00EF7C04"/>
    <w:rsid w:val="00F13030"/>
    <w:rsid w:val="00F13808"/>
    <w:rsid w:val="00F14D56"/>
    <w:rsid w:val="00F15821"/>
    <w:rsid w:val="00F20C0A"/>
    <w:rsid w:val="00F313F8"/>
    <w:rsid w:val="00F31AF4"/>
    <w:rsid w:val="00F3419C"/>
    <w:rsid w:val="00F424FF"/>
    <w:rsid w:val="00F46E90"/>
    <w:rsid w:val="00F573C2"/>
    <w:rsid w:val="00F633C0"/>
    <w:rsid w:val="00F671A1"/>
    <w:rsid w:val="00F74269"/>
    <w:rsid w:val="00F75AE4"/>
    <w:rsid w:val="00F90ADB"/>
    <w:rsid w:val="00F97FB8"/>
    <w:rsid w:val="00FB1932"/>
    <w:rsid w:val="00FB5279"/>
    <w:rsid w:val="00FC0331"/>
    <w:rsid w:val="00FC052D"/>
    <w:rsid w:val="00FC5EE8"/>
    <w:rsid w:val="00FD3A85"/>
    <w:rsid w:val="00FE1690"/>
    <w:rsid w:val="00FE5AF3"/>
    <w:rsid w:val="00FF0376"/>
    <w:rsid w:val="023EDB7A"/>
    <w:rsid w:val="02F16EB7"/>
    <w:rsid w:val="0330CCE1"/>
    <w:rsid w:val="03CDB088"/>
    <w:rsid w:val="03E92FB6"/>
    <w:rsid w:val="04A01441"/>
    <w:rsid w:val="04A56CF9"/>
    <w:rsid w:val="04A7918D"/>
    <w:rsid w:val="053273A7"/>
    <w:rsid w:val="062C110C"/>
    <w:rsid w:val="06C35F3E"/>
    <w:rsid w:val="06C504C0"/>
    <w:rsid w:val="06E681C6"/>
    <w:rsid w:val="06EF2032"/>
    <w:rsid w:val="07DD0DBB"/>
    <w:rsid w:val="083A89D2"/>
    <w:rsid w:val="0872FBB0"/>
    <w:rsid w:val="08DD95B8"/>
    <w:rsid w:val="09048DF8"/>
    <w:rsid w:val="09D35A04"/>
    <w:rsid w:val="0B080E52"/>
    <w:rsid w:val="0B22B669"/>
    <w:rsid w:val="0B6BB524"/>
    <w:rsid w:val="0B722A94"/>
    <w:rsid w:val="0B96B13C"/>
    <w:rsid w:val="0BCCF669"/>
    <w:rsid w:val="0D76DEAD"/>
    <w:rsid w:val="0DBCDB49"/>
    <w:rsid w:val="0E1F8393"/>
    <w:rsid w:val="0E2CCED3"/>
    <w:rsid w:val="0E860CF1"/>
    <w:rsid w:val="0EBB1B8D"/>
    <w:rsid w:val="0ED1EC4C"/>
    <w:rsid w:val="0EE07FD4"/>
    <w:rsid w:val="104E4860"/>
    <w:rsid w:val="10537E93"/>
    <w:rsid w:val="107E2D9C"/>
    <w:rsid w:val="109A7717"/>
    <w:rsid w:val="10D7D888"/>
    <w:rsid w:val="11040898"/>
    <w:rsid w:val="111848C7"/>
    <w:rsid w:val="11233A3D"/>
    <w:rsid w:val="112C6818"/>
    <w:rsid w:val="11897FA7"/>
    <w:rsid w:val="119BD7AF"/>
    <w:rsid w:val="11BDADB3"/>
    <w:rsid w:val="123554C3"/>
    <w:rsid w:val="1289C2AD"/>
    <w:rsid w:val="1320AAFF"/>
    <w:rsid w:val="13255008"/>
    <w:rsid w:val="13AFB3E3"/>
    <w:rsid w:val="13B240F1"/>
    <w:rsid w:val="1415379A"/>
    <w:rsid w:val="14C6DB6A"/>
    <w:rsid w:val="15A13E76"/>
    <w:rsid w:val="16079361"/>
    <w:rsid w:val="16517AFA"/>
    <w:rsid w:val="173037CD"/>
    <w:rsid w:val="179B89C8"/>
    <w:rsid w:val="17C665D9"/>
    <w:rsid w:val="17CE535F"/>
    <w:rsid w:val="180F8058"/>
    <w:rsid w:val="18214440"/>
    <w:rsid w:val="18253030"/>
    <w:rsid w:val="1828113D"/>
    <w:rsid w:val="18859BB8"/>
    <w:rsid w:val="19581058"/>
    <w:rsid w:val="1A76F1E4"/>
    <w:rsid w:val="1B99DA9E"/>
    <w:rsid w:val="1BAE7653"/>
    <w:rsid w:val="1BE7D677"/>
    <w:rsid w:val="1D514E29"/>
    <w:rsid w:val="1D73D49A"/>
    <w:rsid w:val="1D9533EB"/>
    <w:rsid w:val="1DBA659B"/>
    <w:rsid w:val="1EB95567"/>
    <w:rsid w:val="1F30C05E"/>
    <w:rsid w:val="1F84A8E9"/>
    <w:rsid w:val="2046CA4B"/>
    <w:rsid w:val="20E5E417"/>
    <w:rsid w:val="2114B926"/>
    <w:rsid w:val="214AB0E5"/>
    <w:rsid w:val="22AE7DDB"/>
    <w:rsid w:val="23237A65"/>
    <w:rsid w:val="2326CDE9"/>
    <w:rsid w:val="2351FD36"/>
    <w:rsid w:val="23B9B194"/>
    <w:rsid w:val="24107EC2"/>
    <w:rsid w:val="244A3C74"/>
    <w:rsid w:val="24AD8017"/>
    <w:rsid w:val="2502102B"/>
    <w:rsid w:val="25158DD1"/>
    <w:rsid w:val="25391AA7"/>
    <w:rsid w:val="25972745"/>
    <w:rsid w:val="25F648C8"/>
    <w:rsid w:val="26FA67B1"/>
    <w:rsid w:val="272F88AC"/>
    <w:rsid w:val="27481F84"/>
    <w:rsid w:val="277B4F8A"/>
    <w:rsid w:val="27CC7BF3"/>
    <w:rsid w:val="27EF7302"/>
    <w:rsid w:val="2814F8CF"/>
    <w:rsid w:val="2864421D"/>
    <w:rsid w:val="2901A276"/>
    <w:rsid w:val="29416BFC"/>
    <w:rsid w:val="298B231F"/>
    <w:rsid w:val="2B3DDE52"/>
    <w:rsid w:val="2C0E45BC"/>
    <w:rsid w:val="2D2CCD6A"/>
    <w:rsid w:val="2D9F2F4A"/>
    <w:rsid w:val="2E9E60CE"/>
    <w:rsid w:val="2F01E951"/>
    <w:rsid w:val="2F477BA0"/>
    <w:rsid w:val="2FA5E8B0"/>
    <w:rsid w:val="309F0E25"/>
    <w:rsid w:val="30C6DBF6"/>
    <w:rsid w:val="320CBFB8"/>
    <w:rsid w:val="327F1C62"/>
    <w:rsid w:val="32D3CDE0"/>
    <w:rsid w:val="3401C466"/>
    <w:rsid w:val="342E9012"/>
    <w:rsid w:val="3452FA4E"/>
    <w:rsid w:val="34B3EE86"/>
    <w:rsid w:val="350C3BEE"/>
    <w:rsid w:val="35E15CC6"/>
    <w:rsid w:val="36701C8A"/>
    <w:rsid w:val="379FEE86"/>
    <w:rsid w:val="38446254"/>
    <w:rsid w:val="38B3B3A6"/>
    <w:rsid w:val="38C880FA"/>
    <w:rsid w:val="38D53589"/>
    <w:rsid w:val="39AB5981"/>
    <w:rsid w:val="3A563EA0"/>
    <w:rsid w:val="3B7A13B0"/>
    <w:rsid w:val="3B932A02"/>
    <w:rsid w:val="3C62100F"/>
    <w:rsid w:val="3D3ED197"/>
    <w:rsid w:val="3E584256"/>
    <w:rsid w:val="3E9DC4F7"/>
    <w:rsid w:val="3EA81F68"/>
    <w:rsid w:val="3F44770D"/>
    <w:rsid w:val="3F56F9A0"/>
    <w:rsid w:val="40209E2D"/>
    <w:rsid w:val="40E0476E"/>
    <w:rsid w:val="40FDD86A"/>
    <w:rsid w:val="411BE485"/>
    <w:rsid w:val="41BA4A8C"/>
    <w:rsid w:val="41D0F8BD"/>
    <w:rsid w:val="42398A90"/>
    <w:rsid w:val="429DC30A"/>
    <w:rsid w:val="42B85CFB"/>
    <w:rsid w:val="438C2E6A"/>
    <w:rsid w:val="43C51D00"/>
    <w:rsid w:val="43E1B94B"/>
    <w:rsid w:val="441531CD"/>
    <w:rsid w:val="44774743"/>
    <w:rsid w:val="4538AABE"/>
    <w:rsid w:val="45D563CC"/>
    <w:rsid w:val="45E8C1A1"/>
    <w:rsid w:val="464A53C6"/>
    <w:rsid w:val="474F88F2"/>
    <w:rsid w:val="47E678CC"/>
    <w:rsid w:val="4938BA54"/>
    <w:rsid w:val="49606F81"/>
    <w:rsid w:val="49DFEF5E"/>
    <w:rsid w:val="4A175B3B"/>
    <w:rsid w:val="4AC155E1"/>
    <w:rsid w:val="4AE64619"/>
    <w:rsid w:val="4B47496F"/>
    <w:rsid w:val="4C0953FA"/>
    <w:rsid w:val="4E3DE37F"/>
    <w:rsid w:val="4E7FAA73"/>
    <w:rsid w:val="4F1D375F"/>
    <w:rsid w:val="5035356D"/>
    <w:rsid w:val="50562554"/>
    <w:rsid w:val="508AFC50"/>
    <w:rsid w:val="50DFF944"/>
    <w:rsid w:val="51EA2E2B"/>
    <w:rsid w:val="52A5BE83"/>
    <w:rsid w:val="52E4CF7C"/>
    <w:rsid w:val="534E681F"/>
    <w:rsid w:val="5371FD52"/>
    <w:rsid w:val="53A2257D"/>
    <w:rsid w:val="53D8A89A"/>
    <w:rsid w:val="548B3344"/>
    <w:rsid w:val="550FFC9E"/>
    <w:rsid w:val="5516F127"/>
    <w:rsid w:val="566FA8CA"/>
    <w:rsid w:val="5711624C"/>
    <w:rsid w:val="57159657"/>
    <w:rsid w:val="578B1D46"/>
    <w:rsid w:val="578FB590"/>
    <w:rsid w:val="57D93671"/>
    <w:rsid w:val="583B963E"/>
    <w:rsid w:val="588DB3EC"/>
    <w:rsid w:val="58B166B8"/>
    <w:rsid w:val="59577CFF"/>
    <w:rsid w:val="595A53C8"/>
    <w:rsid w:val="597BD9E2"/>
    <w:rsid w:val="59B24CF2"/>
    <w:rsid w:val="59E36DC1"/>
    <w:rsid w:val="59F5AF4F"/>
    <w:rsid w:val="5A4B583C"/>
    <w:rsid w:val="5A53162E"/>
    <w:rsid w:val="5A80E975"/>
    <w:rsid w:val="5ACC6027"/>
    <w:rsid w:val="5B8B8B63"/>
    <w:rsid w:val="5B917FB0"/>
    <w:rsid w:val="5C498E43"/>
    <w:rsid w:val="5C6BAB07"/>
    <w:rsid w:val="5C763D6F"/>
    <w:rsid w:val="5C9CC4CB"/>
    <w:rsid w:val="5D80602E"/>
    <w:rsid w:val="5DD224CD"/>
    <w:rsid w:val="5EB6ECD4"/>
    <w:rsid w:val="5EC98614"/>
    <w:rsid w:val="5F55C682"/>
    <w:rsid w:val="5F8AD8B9"/>
    <w:rsid w:val="5FA04231"/>
    <w:rsid w:val="608BABAF"/>
    <w:rsid w:val="61E72998"/>
    <w:rsid w:val="620E5EA3"/>
    <w:rsid w:val="6210F597"/>
    <w:rsid w:val="624BAC70"/>
    <w:rsid w:val="62B4B171"/>
    <w:rsid w:val="63684F4A"/>
    <w:rsid w:val="636B5A2B"/>
    <w:rsid w:val="643C0C76"/>
    <w:rsid w:val="6468685D"/>
    <w:rsid w:val="64961B66"/>
    <w:rsid w:val="64BE716F"/>
    <w:rsid w:val="661C264F"/>
    <w:rsid w:val="662034BB"/>
    <w:rsid w:val="66F68E49"/>
    <w:rsid w:val="6795072A"/>
    <w:rsid w:val="67F177A2"/>
    <w:rsid w:val="67F9003D"/>
    <w:rsid w:val="6818BF67"/>
    <w:rsid w:val="681C0A9F"/>
    <w:rsid w:val="68640B90"/>
    <w:rsid w:val="689BC528"/>
    <w:rsid w:val="68B39266"/>
    <w:rsid w:val="68C8313E"/>
    <w:rsid w:val="692B708D"/>
    <w:rsid w:val="6931D964"/>
    <w:rsid w:val="6965C1BF"/>
    <w:rsid w:val="69B4D805"/>
    <w:rsid w:val="69BB4D75"/>
    <w:rsid w:val="6A3FAB6A"/>
    <w:rsid w:val="6A5A802E"/>
    <w:rsid w:val="6B4A9249"/>
    <w:rsid w:val="6B59435F"/>
    <w:rsid w:val="6B7AE6FA"/>
    <w:rsid w:val="6B7CD107"/>
    <w:rsid w:val="6BD48ABE"/>
    <w:rsid w:val="6BD973DD"/>
    <w:rsid w:val="6BEEAF90"/>
    <w:rsid w:val="6BF43582"/>
    <w:rsid w:val="6CF1594F"/>
    <w:rsid w:val="6D045FBB"/>
    <w:rsid w:val="6DDBE91C"/>
    <w:rsid w:val="6EEF4561"/>
    <w:rsid w:val="6F2CB8B3"/>
    <w:rsid w:val="6F8A2F38"/>
    <w:rsid w:val="6F8BBB2F"/>
    <w:rsid w:val="70252BD3"/>
    <w:rsid w:val="70696A87"/>
    <w:rsid w:val="7092243C"/>
    <w:rsid w:val="71C65F5A"/>
    <w:rsid w:val="72A2758F"/>
    <w:rsid w:val="72EC81E6"/>
    <w:rsid w:val="737954B4"/>
    <w:rsid w:val="74235451"/>
    <w:rsid w:val="7446ED97"/>
    <w:rsid w:val="750120EC"/>
    <w:rsid w:val="75152515"/>
    <w:rsid w:val="764D81D4"/>
    <w:rsid w:val="76E1B556"/>
    <w:rsid w:val="76FA5746"/>
    <w:rsid w:val="77E605F0"/>
    <w:rsid w:val="77FBA2E2"/>
    <w:rsid w:val="78C51E87"/>
    <w:rsid w:val="79B848E2"/>
    <w:rsid w:val="79E7975D"/>
    <w:rsid w:val="7A48F062"/>
    <w:rsid w:val="7A6E44F4"/>
    <w:rsid w:val="7A7B6E73"/>
    <w:rsid w:val="7B57F4FC"/>
    <w:rsid w:val="7C2E0395"/>
    <w:rsid w:val="7C70A933"/>
    <w:rsid w:val="7C7943DC"/>
    <w:rsid w:val="7CF61C7F"/>
    <w:rsid w:val="7D1563BB"/>
    <w:rsid w:val="7D8CEFD4"/>
    <w:rsid w:val="7D907096"/>
    <w:rsid w:val="7DDF1C21"/>
    <w:rsid w:val="7E65A381"/>
    <w:rsid w:val="7F3A3FA7"/>
    <w:rsid w:val="7FB1D8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AC6BE"/>
  <w15:docId w15:val="{9CDFD786-C659-4B53-B987-BB7EF7C1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2A48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08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44A"/>
    <w:pPr>
      <w:autoSpaceDE w:val="0"/>
      <w:autoSpaceDN w:val="0"/>
      <w:adjustRightInd w:val="0"/>
    </w:pPr>
    <w:rPr>
      <w:rFonts w:ascii="Calibri" w:hAnsi="Calibri" w:cs="Calibri"/>
      <w:color w:val="000000"/>
    </w:rPr>
  </w:style>
  <w:style w:type="paragraph" w:customStyle="1" w:styleId="CM2">
    <w:name w:val="CM2"/>
    <w:basedOn w:val="Default"/>
    <w:next w:val="Default"/>
    <w:uiPriority w:val="99"/>
    <w:rsid w:val="002A484A"/>
    <w:rPr>
      <w:color w:val="auto"/>
    </w:rPr>
  </w:style>
  <w:style w:type="paragraph" w:customStyle="1" w:styleId="CM51">
    <w:name w:val="CM51"/>
    <w:basedOn w:val="Default"/>
    <w:next w:val="Default"/>
    <w:uiPriority w:val="99"/>
    <w:rsid w:val="002A484A"/>
    <w:rPr>
      <w:color w:val="auto"/>
    </w:rPr>
  </w:style>
  <w:style w:type="paragraph" w:customStyle="1" w:styleId="CM3">
    <w:name w:val="CM3"/>
    <w:basedOn w:val="Default"/>
    <w:next w:val="Default"/>
    <w:uiPriority w:val="99"/>
    <w:rsid w:val="002A484A"/>
    <w:pPr>
      <w:spacing w:line="398" w:lineRule="atLeast"/>
    </w:pPr>
    <w:rPr>
      <w:color w:val="auto"/>
    </w:rPr>
  </w:style>
  <w:style w:type="paragraph" w:customStyle="1" w:styleId="CM52">
    <w:name w:val="CM52"/>
    <w:basedOn w:val="Default"/>
    <w:next w:val="Default"/>
    <w:uiPriority w:val="99"/>
    <w:rsid w:val="002A484A"/>
    <w:rPr>
      <w:color w:val="auto"/>
    </w:rPr>
  </w:style>
  <w:style w:type="paragraph" w:customStyle="1" w:styleId="CM5">
    <w:name w:val="CM5"/>
    <w:basedOn w:val="Default"/>
    <w:next w:val="Default"/>
    <w:uiPriority w:val="99"/>
    <w:rsid w:val="002A484A"/>
    <w:pPr>
      <w:spacing w:line="400" w:lineRule="atLeast"/>
    </w:pPr>
    <w:rPr>
      <w:color w:val="auto"/>
    </w:rPr>
  </w:style>
  <w:style w:type="paragraph" w:customStyle="1" w:styleId="CM53">
    <w:name w:val="CM53"/>
    <w:basedOn w:val="Default"/>
    <w:next w:val="Default"/>
    <w:uiPriority w:val="99"/>
    <w:rsid w:val="002A484A"/>
    <w:rPr>
      <w:color w:val="auto"/>
    </w:rPr>
  </w:style>
  <w:style w:type="paragraph" w:customStyle="1" w:styleId="CM6">
    <w:name w:val="CM6"/>
    <w:basedOn w:val="Default"/>
    <w:next w:val="Default"/>
    <w:uiPriority w:val="99"/>
    <w:rsid w:val="002A484A"/>
    <w:pPr>
      <w:spacing w:line="400" w:lineRule="atLeast"/>
    </w:pPr>
    <w:rPr>
      <w:color w:val="auto"/>
    </w:rPr>
  </w:style>
  <w:style w:type="character" w:customStyle="1" w:styleId="Heading1Char">
    <w:name w:val="Heading 1 Char"/>
    <w:basedOn w:val="DefaultParagraphFont"/>
    <w:link w:val="Heading1"/>
    <w:uiPriority w:val="9"/>
    <w:rsid w:val="002A48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A484A"/>
    <w:pPr>
      <w:spacing w:line="259" w:lineRule="auto"/>
      <w:outlineLvl w:val="9"/>
    </w:pPr>
    <w:rPr>
      <w:lang w:val="en-US"/>
    </w:rPr>
  </w:style>
  <w:style w:type="paragraph" w:styleId="ListParagraph">
    <w:name w:val="List Paragraph"/>
    <w:basedOn w:val="Normal"/>
    <w:uiPriority w:val="34"/>
    <w:qFormat/>
    <w:rsid w:val="0048151E"/>
    <w:pPr>
      <w:ind w:left="720"/>
      <w:contextualSpacing/>
    </w:pPr>
  </w:style>
  <w:style w:type="paragraph" w:styleId="CommentText">
    <w:name w:val="annotation text"/>
    <w:basedOn w:val="Normal"/>
    <w:link w:val="CommentTextChar"/>
    <w:uiPriority w:val="99"/>
    <w:unhideWhenUsed/>
    <w:rsid w:val="0048151E"/>
    <w:rPr>
      <w:sz w:val="20"/>
      <w:szCs w:val="20"/>
    </w:rPr>
  </w:style>
  <w:style w:type="character" w:customStyle="1" w:styleId="CommentTextChar">
    <w:name w:val="Comment Text Char"/>
    <w:basedOn w:val="DefaultParagraphFont"/>
    <w:link w:val="CommentText"/>
    <w:uiPriority w:val="99"/>
    <w:rsid w:val="0048151E"/>
    <w:rPr>
      <w:sz w:val="20"/>
      <w:szCs w:val="20"/>
    </w:rPr>
  </w:style>
  <w:style w:type="character" w:styleId="CommentReference">
    <w:name w:val="annotation reference"/>
    <w:basedOn w:val="DefaultParagraphFont"/>
    <w:uiPriority w:val="99"/>
    <w:semiHidden/>
    <w:unhideWhenUsed/>
    <w:rsid w:val="0048151E"/>
    <w:rPr>
      <w:sz w:val="16"/>
      <w:szCs w:val="16"/>
    </w:rPr>
  </w:style>
  <w:style w:type="paragraph" w:styleId="CommentSubject">
    <w:name w:val="annotation subject"/>
    <w:basedOn w:val="CommentText"/>
    <w:next w:val="CommentText"/>
    <w:link w:val="CommentSubjectChar"/>
    <w:uiPriority w:val="99"/>
    <w:semiHidden/>
    <w:unhideWhenUsed/>
    <w:rsid w:val="0048151E"/>
    <w:rPr>
      <w:b/>
      <w:bCs/>
    </w:rPr>
  </w:style>
  <w:style w:type="character" w:customStyle="1" w:styleId="CommentSubjectChar">
    <w:name w:val="Comment Subject Char"/>
    <w:basedOn w:val="CommentTextChar"/>
    <w:link w:val="CommentSubject"/>
    <w:uiPriority w:val="99"/>
    <w:semiHidden/>
    <w:rsid w:val="0048151E"/>
    <w:rPr>
      <w:b/>
      <w:bCs/>
      <w:sz w:val="20"/>
      <w:szCs w:val="20"/>
    </w:rPr>
  </w:style>
  <w:style w:type="paragraph" w:customStyle="1" w:styleId="CM8">
    <w:name w:val="CM8"/>
    <w:basedOn w:val="Default"/>
    <w:next w:val="Default"/>
    <w:uiPriority w:val="99"/>
    <w:rsid w:val="00205818"/>
    <w:pPr>
      <w:spacing w:line="320" w:lineRule="atLeast"/>
    </w:pPr>
    <w:rPr>
      <w:color w:val="auto"/>
    </w:rPr>
  </w:style>
  <w:style w:type="paragraph" w:customStyle="1" w:styleId="CM56">
    <w:name w:val="CM56"/>
    <w:basedOn w:val="Default"/>
    <w:next w:val="Default"/>
    <w:uiPriority w:val="99"/>
    <w:rsid w:val="00205818"/>
    <w:rPr>
      <w:color w:val="auto"/>
    </w:rPr>
  </w:style>
  <w:style w:type="paragraph" w:customStyle="1" w:styleId="CM9">
    <w:name w:val="CM9"/>
    <w:basedOn w:val="Default"/>
    <w:next w:val="Default"/>
    <w:uiPriority w:val="99"/>
    <w:rsid w:val="00205818"/>
    <w:pPr>
      <w:spacing w:line="318" w:lineRule="atLeast"/>
    </w:pPr>
    <w:rPr>
      <w:color w:val="auto"/>
    </w:rPr>
  </w:style>
  <w:style w:type="paragraph" w:styleId="NoSpacing">
    <w:name w:val="No Spacing"/>
    <w:uiPriority w:val="1"/>
    <w:qFormat/>
    <w:rsid w:val="0066288B"/>
  </w:style>
  <w:style w:type="table" w:styleId="TableGrid">
    <w:name w:val="Table Grid"/>
    <w:basedOn w:val="TableNormal"/>
    <w:uiPriority w:val="39"/>
    <w:rsid w:val="007A0E1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EE4"/>
    <w:rPr>
      <w:color w:val="0000FF" w:themeColor="hyperlink"/>
      <w:u w:val="single"/>
    </w:rPr>
  </w:style>
  <w:style w:type="character" w:styleId="UnresolvedMention">
    <w:name w:val="Unresolved Mention"/>
    <w:basedOn w:val="DefaultParagraphFont"/>
    <w:uiPriority w:val="99"/>
    <w:semiHidden/>
    <w:unhideWhenUsed/>
    <w:rsid w:val="00BB1EE4"/>
    <w:rPr>
      <w:color w:val="605E5C"/>
      <w:shd w:val="clear" w:color="auto" w:fill="E1DFDD"/>
    </w:rPr>
  </w:style>
  <w:style w:type="paragraph" w:styleId="Header">
    <w:name w:val="header"/>
    <w:basedOn w:val="Normal"/>
    <w:link w:val="HeaderChar"/>
    <w:uiPriority w:val="99"/>
    <w:unhideWhenUsed/>
    <w:rsid w:val="00D6380A"/>
    <w:pPr>
      <w:tabs>
        <w:tab w:val="center" w:pos="4513"/>
        <w:tab w:val="right" w:pos="9026"/>
      </w:tabs>
    </w:pPr>
  </w:style>
  <w:style w:type="character" w:customStyle="1" w:styleId="HeaderChar">
    <w:name w:val="Header Char"/>
    <w:basedOn w:val="DefaultParagraphFont"/>
    <w:link w:val="Header"/>
    <w:uiPriority w:val="99"/>
    <w:rsid w:val="00D6380A"/>
  </w:style>
  <w:style w:type="paragraph" w:styleId="Footer">
    <w:name w:val="footer"/>
    <w:basedOn w:val="Normal"/>
    <w:link w:val="FooterChar"/>
    <w:uiPriority w:val="99"/>
    <w:unhideWhenUsed/>
    <w:rsid w:val="00D6380A"/>
    <w:pPr>
      <w:tabs>
        <w:tab w:val="center" w:pos="4513"/>
        <w:tab w:val="right" w:pos="9026"/>
      </w:tabs>
    </w:pPr>
  </w:style>
  <w:style w:type="character" w:customStyle="1" w:styleId="FooterChar">
    <w:name w:val="Footer Char"/>
    <w:basedOn w:val="DefaultParagraphFont"/>
    <w:link w:val="Footer"/>
    <w:uiPriority w:val="99"/>
    <w:rsid w:val="00D6380A"/>
  </w:style>
  <w:style w:type="paragraph" w:styleId="FootnoteText">
    <w:name w:val="footnote text"/>
    <w:basedOn w:val="Normal"/>
    <w:link w:val="FootnoteTextChar"/>
    <w:uiPriority w:val="99"/>
    <w:semiHidden/>
    <w:unhideWhenUsed/>
    <w:rsid w:val="00D7153A"/>
    <w:rPr>
      <w:sz w:val="20"/>
      <w:szCs w:val="20"/>
    </w:rPr>
  </w:style>
  <w:style w:type="character" w:customStyle="1" w:styleId="FootnoteTextChar">
    <w:name w:val="Footnote Text Char"/>
    <w:basedOn w:val="DefaultParagraphFont"/>
    <w:link w:val="FootnoteText"/>
    <w:uiPriority w:val="99"/>
    <w:semiHidden/>
    <w:rsid w:val="00D7153A"/>
    <w:rPr>
      <w:sz w:val="20"/>
      <w:szCs w:val="20"/>
    </w:rPr>
  </w:style>
  <w:style w:type="character" w:styleId="FootnoteReference">
    <w:name w:val="footnote reference"/>
    <w:basedOn w:val="DefaultParagraphFont"/>
    <w:uiPriority w:val="99"/>
    <w:semiHidden/>
    <w:unhideWhenUsed/>
    <w:rsid w:val="00D7153A"/>
    <w:rPr>
      <w:vertAlign w:val="superscript"/>
    </w:rPr>
  </w:style>
  <w:style w:type="character" w:customStyle="1" w:styleId="normaltextrun">
    <w:name w:val="normaltextrun"/>
    <w:basedOn w:val="DefaultParagraphFont"/>
    <w:rsid w:val="0089708F"/>
  </w:style>
  <w:style w:type="character" w:customStyle="1" w:styleId="Heading2Char">
    <w:name w:val="Heading 2 Char"/>
    <w:basedOn w:val="DefaultParagraphFont"/>
    <w:link w:val="Heading2"/>
    <w:uiPriority w:val="9"/>
    <w:rsid w:val="00770846"/>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A93548"/>
    <w:pPr>
      <w:tabs>
        <w:tab w:val="right" w:leader="dot" w:pos="13948"/>
      </w:tabs>
      <w:spacing w:after="100"/>
    </w:pPr>
  </w:style>
  <w:style w:type="paragraph" w:styleId="TOC2">
    <w:name w:val="toc 2"/>
    <w:basedOn w:val="Normal"/>
    <w:next w:val="Normal"/>
    <w:autoRedefine/>
    <w:uiPriority w:val="39"/>
    <w:unhideWhenUsed/>
    <w:rsid w:val="00D41608"/>
    <w:pPr>
      <w:spacing w:after="100"/>
      <w:ind w:left="240"/>
    </w:pPr>
  </w:style>
  <w:style w:type="paragraph" w:styleId="Revision">
    <w:name w:val="Revision"/>
    <w:hidden/>
    <w:uiPriority w:val="99"/>
    <w:semiHidden/>
    <w:rsid w:val="000758C7"/>
  </w:style>
  <w:style w:type="character" w:styleId="FollowedHyperlink">
    <w:name w:val="FollowedHyperlink"/>
    <w:basedOn w:val="DefaultParagraphFont"/>
    <w:uiPriority w:val="99"/>
    <w:semiHidden/>
    <w:unhideWhenUsed/>
    <w:rsid w:val="000758C7"/>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DB69AF"/>
    <w:rPr>
      <w:b/>
      <w:bCs/>
    </w:rPr>
  </w:style>
  <w:style w:type="paragraph" w:customStyle="1" w:styleId="paragraph">
    <w:name w:val="paragraph"/>
    <w:basedOn w:val="Normal"/>
    <w:rsid w:val="00835578"/>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35578"/>
  </w:style>
  <w:style w:type="character" w:customStyle="1" w:styleId="textbodyemph">
    <w:name w:val="textbodyemph"/>
    <w:basedOn w:val="DefaultParagraphFont"/>
    <w:rsid w:val="000A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4203">
      <w:bodyDiv w:val="1"/>
      <w:marLeft w:val="0"/>
      <w:marRight w:val="0"/>
      <w:marTop w:val="0"/>
      <w:marBottom w:val="0"/>
      <w:divBdr>
        <w:top w:val="none" w:sz="0" w:space="0" w:color="auto"/>
        <w:left w:val="none" w:sz="0" w:space="0" w:color="auto"/>
        <w:bottom w:val="none" w:sz="0" w:space="0" w:color="auto"/>
        <w:right w:val="none" w:sz="0" w:space="0" w:color="auto"/>
      </w:divBdr>
      <w:divsChild>
        <w:div w:id="529689361">
          <w:marLeft w:val="547"/>
          <w:marRight w:val="0"/>
          <w:marTop w:val="0"/>
          <w:marBottom w:val="0"/>
          <w:divBdr>
            <w:top w:val="none" w:sz="0" w:space="0" w:color="auto"/>
            <w:left w:val="none" w:sz="0" w:space="0" w:color="auto"/>
            <w:bottom w:val="none" w:sz="0" w:space="0" w:color="auto"/>
            <w:right w:val="none" w:sz="0" w:space="0" w:color="auto"/>
          </w:divBdr>
        </w:div>
        <w:div w:id="886263379">
          <w:marLeft w:val="547"/>
          <w:marRight w:val="0"/>
          <w:marTop w:val="0"/>
          <w:marBottom w:val="0"/>
          <w:divBdr>
            <w:top w:val="none" w:sz="0" w:space="0" w:color="auto"/>
            <w:left w:val="none" w:sz="0" w:space="0" w:color="auto"/>
            <w:bottom w:val="none" w:sz="0" w:space="0" w:color="auto"/>
            <w:right w:val="none" w:sz="0" w:space="0" w:color="auto"/>
          </w:divBdr>
        </w:div>
        <w:div w:id="892080752">
          <w:marLeft w:val="547"/>
          <w:marRight w:val="0"/>
          <w:marTop w:val="0"/>
          <w:marBottom w:val="0"/>
          <w:divBdr>
            <w:top w:val="none" w:sz="0" w:space="0" w:color="auto"/>
            <w:left w:val="none" w:sz="0" w:space="0" w:color="auto"/>
            <w:bottom w:val="none" w:sz="0" w:space="0" w:color="auto"/>
            <w:right w:val="none" w:sz="0" w:space="0" w:color="auto"/>
          </w:divBdr>
        </w:div>
        <w:div w:id="1687826507">
          <w:marLeft w:val="547"/>
          <w:marRight w:val="0"/>
          <w:marTop w:val="0"/>
          <w:marBottom w:val="0"/>
          <w:divBdr>
            <w:top w:val="none" w:sz="0" w:space="0" w:color="auto"/>
            <w:left w:val="none" w:sz="0" w:space="0" w:color="auto"/>
            <w:bottom w:val="none" w:sz="0" w:space="0" w:color="auto"/>
            <w:right w:val="none" w:sz="0" w:space="0" w:color="auto"/>
          </w:divBdr>
        </w:div>
      </w:divsChild>
    </w:div>
    <w:div w:id="97259891">
      <w:bodyDiv w:val="1"/>
      <w:marLeft w:val="0"/>
      <w:marRight w:val="0"/>
      <w:marTop w:val="0"/>
      <w:marBottom w:val="0"/>
      <w:divBdr>
        <w:top w:val="none" w:sz="0" w:space="0" w:color="auto"/>
        <w:left w:val="none" w:sz="0" w:space="0" w:color="auto"/>
        <w:bottom w:val="none" w:sz="0" w:space="0" w:color="auto"/>
        <w:right w:val="none" w:sz="0" w:space="0" w:color="auto"/>
      </w:divBdr>
      <w:divsChild>
        <w:div w:id="1115637411">
          <w:marLeft w:val="0"/>
          <w:marRight w:val="0"/>
          <w:marTop w:val="0"/>
          <w:marBottom w:val="0"/>
          <w:divBdr>
            <w:top w:val="none" w:sz="0" w:space="0" w:color="auto"/>
            <w:left w:val="none" w:sz="0" w:space="0" w:color="auto"/>
            <w:bottom w:val="none" w:sz="0" w:space="0" w:color="auto"/>
            <w:right w:val="none" w:sz="0" w:space="0" w:color="auto"/>
          </w:divBdr>
          <w:divsChild>
            <w:div w:id="200477867">
              <w:marLeft w:val="0"/>
              <w:marRight w:val="0"/>
              <w:marTop w:val="0"/>
              <w:marBottom w:val="0"/>
              <w:divBdr>
                <w:top w:val="none" w:sz="0" w:space="0" w:color="auto"/>
                <w:left w:val="none" w:sz="0" w:space="0" w:color="auto"/>
                <w:bottom w:val="none" w:sz="0" w:space="0" w:color="auto"/>
                <w:right w:val="none" w:sz="0" w:space="0" w:color="auto"/>
              </w:divBdr>
            </w:div>
            <w:div w:id="553080076">
              <w:marLeft w:val="0"/>
              <w:marRight w:val="0"/>
              <w:marTop w:val="0"/>
              <w:marBottom w:val="0"/>
              <w:divBdr>
                <w:top w:val="none" w:sz="0" w:space="0" w:color="auto"/>
                <w:left w:val="none" w:sz="0" w:space="0" w:color="auto"/>
                <w:bottom w:val="none" w:sz="0" w:space="0" w:color="auto"/>
                <w:right w:val="none" w:sz="0" w:space="0" w:color="auto"/>
              </w:divBdr>
            </w:div>
            <w:div w:id="1097824925">
              <w:marLeft w:val="0"/>
              <w:marRight w:val="0"/>
              <w:marTop w:val="0"/>
              <w:marBottom w:val="0"/>
              <w:divBdr>
                <w:top w:val="none" w:sz="0" w:space="0" w:color="auto"/>
                <w:left w:val="none" w:sz="0" w:space="0" w:color="auto"/>
                <w:bottom w:val="none" w:sz="0" w:space="0" w:color="auto"/>
                <w:right w:val="none" w:sz="0" w:space="0" w:color="auto"/>
              </w:divBdr>
            </w:div>
            <w:div w:id="2035422872">
              <w:marLeft w:val="0"/>
              <w:marRight w:val="0"/>
              <w:marTop w:val="0"/>
              <w:marBottom w:val="0"/>
              <w:divBdr>
                <w:top w:val="none" w:sz="0" w:space="0" w:color="auto"/>
                <w:left w:val="none" w:sz="0" w:space="0" w:color="auto"/>
                <w:bottom w:val="none" w:sz="0" w:space="0" w:color="auto"/>
                <w:right w:val="none" w:sz="0" w:space="0" w:color="auto"/>
              </w:divBdr>
            </w:div>
          </w:divsChild>
        </w:div>
        <w:div w:id="1928348564">
          <w:marLeft w:val="0"/>
          <w:marRight w:val="0"/>
          <w:marTop w:val="0"/>
          <w:marBottom w:val="0"/>
          <w:divBdr>
            <w:top w:val="none" w:sz="0" w:space="0" w:color="auto"/>
            <w:left w:val="none" w:sz="0" w:space="0" w:color="auto"/>
            <w:bottom w:val="none" w:sz="0" w:space="0" w:color="auto"/>
            <w:right w:val="none" w:sz="0" w:space="0" w:color="auto"/>
          </w:divBdr>
          <w:divsChild>
            <w:div w:id="1194533025">
              <w:marLeft w:val="0"/>
              <w:marRight w:val="0"/>
              <w:marTop w:val="0"/>
              <w:marBottom w:val="0"/>
              <w:divBdr>
                <w:top w:val="none" w:sz="0" w:space="0" w:color="auto"/>
                <w:left w:val="none" w:sz="0" w:space="0" w:color="auto"/>
                <w:bottom w:val="none" w:sz="0" w:space="0" w:color="auto"/>
                <w:right w:val="none" w:sz="0" w:space="0" w:color="auto"/>
              </w:divBdr>
            </w:div>
            <w:div w:id="1227839735">
              <w:marLeft w:val="0"/>
              <w:marRight w:val="0"/>
              <w:marTop w:val="0"/>
              <w:marBottom w:val="0"/>
              <w:divBdr>
                <w:top w:val="none" w:sz="0" w:space="0" w:color="auto"/>
                <w:left w:val="none" w:sz="0" w:space="0" w:color="auto"/>
                <w:bottom w:val="none" w:sz="0" w:space="0" w:color="auto"/>
                <w:right w:val="none" w:sz="0" w:space="0" w:color="auto"/>
              </w:divBdr>
            </w:div>
            <w:div w:id="17297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5135">
      <w:bodyDiv w:val="1"/>
      <w:marLeft w:val="0"/>
      <w:marRight w:val="0"/>
      <w:marTop w:val="0"/>
      <w:marBottom w:val="0"/>
      <w:divBdr>
        <w:top w:val="none" w:sz="0" w:space="0" w:color="auto"/>
        <w:left w:val="none" w:sz="0" w:space="0" w:color="auto"/>
        <w:bottom w:val="none" w:sz="0" w:space="0" w:color="auto"/>
        <w:right w:val="none" w:sz="0" w:space="0" w:color="auto"/>
      </w:divBdr>
    </w:div>
    <w:div w:id="362480423">
      <w:bodyDiv w:val="1"/>
      <w:marLeft w:val="0"/>
      <w:marRight w:val="0"/>
      <w:marTop w:val="0"/>
      <w:marBottom w:val="0"/>
      <w:divBdr>
        <w:top w:val="none" w:sz="0" w:space="0" w:color="auto"/>
        <w:left w:val="none" w:sz="0" w:space="0" w:color="auto"/>
        <w:bottom w:val="none" w:sz="0" w:space="0" w:color="auto"/>
        <w:right w:val="none" w:sz="0" w:space="0" w:color="auto"/>
      </w:divBdr>
    </w:div>
    <w:div w:id="614947681">
      <w:bodyDiv w:val="1"/>
      <w:marLeft w:val="0"/>
      <w:marRight w:val="0"/>
      <w:marTop w:val="0"/>
      <w:marBottom w:val="0"/>
      <w:divBdr>
        <w:top w:val="none" w:sz="0" w:space="0" w:color="auto"/>
        <w:left w:val="none" w:sz="0" w:space="0" w:color="auto"/>
        <w:bottom w:val="none" w:sz="0" w:space="0" w:color="auto"/>
        <w:right w:val="none" w:sz="0" w:space="0" w:color="auto"/>
      </w:divBdr>
    </w:div>
    <w:div w:id="642545272">
      <w:bodyDiv w:val="1"/>
      <w:marLeft w:val="0"/>
      <w:marRight w:val="0"/>
      <w:marTop w:val="0"/>
      <w:marBottom w:val="0"/>
      <w:divBdr>
        <w:top w:val="none" w:sz="0" w:space="0" w:color="auto"/>
        <w:left w:val="none" w:sz="0" w:space="0" w:color="auto"/>
        <w:bottom w:val="none" w:sz="0" w:space="0" w:color="auto"/>
        <w:right w:val="none" w:sz="0" w:space="0" w:color="auto"/>
      </w:divBdr>
    </w:div>
    <w:div w:id="701790072">
      <w:bodyDiv w:val="1"/>
      <w:marLeft w:val="0"/>
      <w:marRight w:val="0"/>
      <w:marTop w:val="0"/>
      <w:marBottom w:val="0"/>
      <w:divBdr>
        <w:top w:val="none" w:sz="0" w:space="0" w:color="auto"/>
        <w:left w:val="none" w:sz="0" w:space="0" w:color="auto"/>
        <w:bottom w:val="none" w:sz="0" w:space="0" w:color="auto"/>
        <w:right w:val="none" w:sz="0" w:space="0" w:color="auto"/>
      </w:divBdr>
      <w:divsChild>
        <w:div w:id="20325697">
          <w:marLeft w:val="0"/>
          <w:marRight w:val="0"/>
          <w:marTop w:val="0"/>
          <w:marBottom w:val="0"/>
          <w:divBdr>
            <w:top w:val="none" w:sz="0" w:space="0" w:color="auto"/>
            <w:left w:val="none" w:sz="0" w:space="0" w:color="auto"/>
            <w:bottom w:val="none" w:sz="0" w:space="0" w:color="auto"/>
            <w:right w:val="none" w:sz="0" w:space="0" w:color="auto"/>
          </w:divBdr>
        </w:div>
        <w:div w:id="746147778">
          <w:marLeft w:val="0"/>
          <w:marRight w:val="0"/>
          <w:marTop w:val="0"/>
          <w:marBottom w:val="0"/>
          <w:divBdr>
            <w:top w:val="none" w:sz="0" w:space="0" w:color="auto"/>
            <w:left w:val="none" w:sz="0" w:space="0" w:color="auto"/>
            <w:bottom w:val="none" w:sz="0" w:space="0" w:color="auto"/>
            <w:right w:val="none" w:sz="0" w:space="0" w:color="auto"/>
          </w:divBdr>
        </w:div>
        <w:div w:id="782043278">
          <w:marLeft w:val="0"/>
          <w:marRight w:val="0"/>
          <w:marTop w:val="0"/>
          <w:marBottom w:val="0"/>
          <w:divBdr>
            <w:top w:val="none" w:sz="0" w:space="0" w:color="auto"/>
            <w:left w:val="none" w:sz="0" w:space="0" w:color="auto"/>
            <w:bottom w:val="none" w:sz="0" w:space="0" w:color="auto"/>
            <w:right w:val="none" w:sz="0" w:space="0" w:color="auto"/>
          </w:divBdr>
        </w:div>
        <w:div w:id="1562981039">
          <w:marLeft w:val="0"/>
          <w:marRight w:val="0"/>
          <w:marTop w:val="0"/>
          <w:marBottom w:val="0"/>
          <w:divBdr>
            <w:top w:val="none" w:sz="0" w:space="0" w:color="auto"/>
            <w:left w:val="none" w:sz="0" w:space="0" w:color="auto"/>
            <w:bottom w:val="none" w:sz="0" w:space="0" w:color="auto"/>
            <w:right w:val="none" w:sz="0" w:space="0" w:color="auto"/>
          </w:divBdr>
        </w:div>
        <w:div w:id="1654676756">
          <w:marLeft w:val="0"/>
          <w:marRight w:val="0"/>
          <w:marTop w:val="0"/>
          <w:marBottom w:val="0"/>
          <w:divBdr>
            <w:top w:val="none" w:sz="0" w:space="0" w:color="auto"/>
            <w:left w:val="none" w:sz="0" w:space="0" w:color="auto"/>
            <w:bottom w:val="none" w:sz="0" w:space="0" w:color="auto"/>
            <w:right w:val="none" w:sz="0" w:space="0" w:color="auto"/>
          </w:divBdr>
        </w:div>
      </w:divsChild>
    </w:div>
    <w:div w:id="741023669">
      <w:bodyDiv w:val="1"/>
      <w:marLeft w:val="0"/>
      <w:marRight w:val="0"/>
      <w:marTop w:val="0"/>
      <w:marBottom w:val="0"/>
      <w:divBdr>
        <w:top w:val="none" w:sz="0" w:space="0" w:color="auto"/>
        <w:left w:val="none" w:sz="0" w:space="0" w:color="auto"/>
        <w:bottom w:val="none" w:sz="0" w:space="0" w:color="auto"/>
        <w:right w:val="none" w:sz="0" w:space="0" w:color="auto"/>
      </w:divBdr>
    </w:div>
    <w:div w:id="1042822658">
      <w:bodyDiv w:val="1"/>
      <w:marLeft w:val="0"/>
      <w:marRight w:val="0"/>
      <w:marTop w:val="0"/>
      <w:marBottom w:val="0"/>
      <w:divBdr>
        <w:top w:val="none" w:sz="0" w:space="0" w:color="auto"/>
        <w:left w:val="none" w:sz="0" w:space="0" w:color="auto"/>
        <w:bottom w:val="none" w:sz="0" w:space="0" w:color="auto"/>
        <w:right w:val="none" w:sz="0" w:space="0" w:color="auto"/>
      </w:divBdr>
      <w:divsChild>
        <w:div w:id="131289934">
          <w:marLeft w:val="0"/>
          <w:marRight w:val="0"/>
          <w:marTop w:val="0"/>
          <w:marBottom w:val="0"/>
          <w:divBdr>
            <w:top w:val="none" w:sz="0" w:space="0" w:color="auto"/>
            <w:left w:val="none" w:sz="0" w:space="0" w:color="auto"/>
            <w:bottom w:val="none" w:sz="0" w:space="0" w:color="auto"/>
            <w:right w:val="none" w:sz="0" w:space="0" w:color="auto"/>
          </w:divBdr>
        </w:div>
        <w:div w:id="855538036">
          <w:marLeft w:val="0"/>
          <w:marRight w:val="0"/>
          <w:marTop w:val="0"/>
          <w:marBottom w:val="0"/>
          <w:divBdr>
            <w:top w:val="none" w:sz="0" w:space="0" w:color="auto"/>
            <w:left w:val="none" w:sz="0" w:space="0" w:color="auto"/>
            <w:bottom w:val="none" w:sz="0" w:space="0" w:color="auto"/>
            <w:right w:val="none" w:sz="0" w:space="0" w:color="auto"/>
          </w:divBdr>
        </w:div>
        <w:div w:id="1038630361">
          <w:marLeft w:val="0"/>
          <w:marRight w:val="0"/>
          <w:marTop w:val="0"/>
          <w:marBottom w:val="0"/>
          <w:divBdr>
            <w:top w:val="none" w:sz="0" w:space="0" w:color="auto"/>
            <w:left w:val="none" w:sz="0" w:space="0" w:color="auto"/>
            <w:bottom w:val="none" w:sz="0" w:space="0" w:color="auto"/>
            <w:right w:val="none" w:sz="0" w:space="0" w:color="auto"/>
          </w:divBdr>
        </w:div>
        <w:div w:id="1278022878">
          <w:marLeft w:val="0"/>
          <w:marRight w:val="0"/>
          <w:marTop w:val="0"/>
          <w:marBottom w:val="0"/>
          <w:divBdr>
            <w:top w:val="none" w:sz="0" w:space="0" w:color="auto"/>
            <w:left w:val="none" w:sz="0" w:space="0" w:color="auto"/>
            <w:bottom w:val="none" w:sz="0" w:space="0" w:color="auto"/>
            <w:right w:val="none" w:sz="0" w:space="0" w:color="auto"/>
          </w:divBdr>
        </w:div>
        <w:div w:id="1689409650">
          <w:marLeft w:val="0"/>
          <w:marRight w:val="0"/>
          <w:marTop w:val="0"/>
          <w:marBottom w:val="0"/>
          <w:divBdr>
            <w:top w:val="none" w:sz="0" w:space="0" w:color="auto"/>
            <w:left w:val="none" w:sz="0" w:space="0" w:color="auto"/>
            <w:bottom w:val="none" w:sz="0" w:space="0" w:color="auto"/>
            <w:right w:val="none" w:sz="0" w:space="0" w:color="auto"/>
          </w:divBdr>
        </w:div>
        <w:div w:id="2016691724">
          <w:marLeft w:val="0"/>
          <w:marRight w:val="0"/>
          <w:marTop w:val="0"/>
          <w:marBottom w:val="0"/>
          <w:divBdr>
            <w:top w:val="none" w:sz="0" w:space="0" w:color="auto"/>
            <w:left w:val="none" w:sz="0" w:space="0" w:color="auto"/>
            <w:bottom w:val="none" w:sz="0" w:space="0" w:color="auto"/>
            <w:right w:val="none" w:sz="0" w:space="0" w:color="auto"/>
          </w:divBdr>
        </w:div>
      </w:divsChild>
    </w:div>
    <w:div w:id="1285236725">
      <w:bodyDiv w:val="1"/>
      <w:marLeft w:val="0"/>
      <w:marRight w:val="0"/>
      <w:marTop w:val="0"/>
      <w:marBottom w:val="0"/>
      <w:divBdr>
        <w:top w:val="none" w:sz="0" w:space="0" w:color="auto"/>
        <w:left w:val="none" w:sz="0" w:space="0" w:color="auto"/>
        <w:bottom w:val="none" w:sz="0" w:space="0" w:color="auto"/>
        <w:right w:val="none" w:sz="0" w:space="0" w:color="auto"/>
      </w:divBdr>
    </w:div>
    <w:div w:id="1310671396">
      <w:bodyDiv w:val="1"/>
      <w:marLeft w:val="0"/>
      <w:marRight w:val="0"/>
      <w:marTop w:val="0"/>
      <w:marBottom w:val="0"/>
      <w:divBdr>
        <w:top w:val="none" w:sz="0" w:space="0" w:color="auto"/>
        <w:left w:val="none" w:sz="0" w:space="0" w:color="auto"/>
        <w:bottom w:val="none" w:sz="0" w:space="0" w:color="auto"/>
        <w:right w:val="none" w:sz="0" w:space="0" w:color="auto"/>
      </w:divBdr>
      <w:divsChild>
        <w:div w:id="45840481">
          <w:marLeft w:val="547"/>
          <w:marRight w:val="0"/>
          <w:marTop w:val="0"/>
          <w:marBottom w:val="0"/>
          <w:divBdr>
            <w:top w:val="none" w:sz="0" w:space="0" w:color="auto"/>
            <w:left w:val="none" w:sz="0" w:space="0" w:color="auto"/>
            <w:bottom w:val="none" w:sz="0" w:space="0" w:color="auto"/>
            <w:right w:val="none" w:sz="0" w:space="0" w:color="auto"/>
          </w:divBdr>
        </w:div>
        <w:div w:id="2101487157">
          <w:marLeft w:val="547"/>
          <w:marRight w:val="0"/>
          <w:marTop w:val="0"/>
          <w:marBottom w:val="0"/>
          <w:divBdr>
            <w:top w:val="none" w:sz="0" w:space="0" w:color="auto"/>
            <w:left w:val="none" w:sz="0" w:space="0" w:color="auto"/>
            <w:bottom w:val="none" w:sz="0" w:space="0" w:color="auto"/>
            <w:right w:val="none" w:sz="0" w:space="0" w:color="auto"/>
          </w:divBdr>
        </w:div>
      </w:divsChild>
    </w:div>
    <w:div w:id="207388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about-us/how-we-will-regulate/single-assessment-framework" TargetMode="External"/><Relationship Id="rId18" Type="http://schemas.openxmlformats.org/officeDocument/2006/relationships/hyperlink" Target="https://www.oxfordshire.gov.uk/sites/default/files/file/plans-performance-policy/OCCUnpaidCarersStrategy.pdf" TargetMode="External"/><Relationship Id="rId26" Type="http://schemas.openxmlformats.org/officeDocument/2006/relationships/hyperlink" Target="https://www.gov.uk/government/publications/review-of-adult-social-care-2022"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ov.uk/government/publications/people-at-the-heart-of-care-adult-social-care-reform-white-paper" TargetMode="External"/><Relationship Id="rId17" Type="http://schemas.openxmlformats.org/officeDocument/2006/relationships/hyperlink" Target="https://www.nao.org.uk/wp-content/uploads/2018/07/Adult-social-care-at-a-glance.pdf" TargetMode="External"/><Relationship Id="rId25"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hyperlink" Target="https://www.skillsforcare.org.uk/Adult-Social-Care-Workforce-Data/Workforce-intelligence/publications/local-information/My-local-area.aspx"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sight.oxfordshire.gov.uk/cms/joint-strategic-needs-assessment" TargetMode="External"/><Relationship Id="rId23" Type="http://schemas.openxmlformats.org/officeDocument/2006/relationships/image" Target="media/image5.png"/><Relationship Id="rId28" Type="http://schemas.openxmlformats.org/officeDocument/2006/relationships/hyperlink" Target="https://www.oxfordshire.gov.uk/sites/default/files/file/plans-performance-policy/OCCIncludingeveryone.pdf" TargetMode="External"/><Relationship Id="rId10" Type="http://schemas.openxmlformats.org/officeDocument/2006/relationships/endnotes" Target="endnotes.xml"/><Relationship Id="rId19" Type="http://schemas.openxmlformats.org/officeDocument/2006/relationships/hyperlink" Target="https://www.skillsforcare.org.uk/Adult-Social-Care-Workforce-Data/Workforce-intelligence/publications/local-information/My-local-area.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shire.gov.uk/sites/default/files/file/plans-performance-policy/OCCIncludingeveryone.pdf" TargetMode="External"/><Relationship Id="rId22" Type="http://schemas.openxmlformats.org/officeDocument/2006/relationships/image" Target="media/image4.png"/><Relationship Id="rId27" Type="http://schemas.openxmlformats.org/officeDocument/2006/relationships/hyperlink" Target="https://www.gov.uk/health-care-worker-visa"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kingsfund.org.uk/publications/social-care-360/workforce-and-carers" TargetMode="External"/><Relationship Id="rId1" Type="http://schemas.openxmlformats.org/officeDocument/2006/relationships/hyperlink" Target="https://www.skillsforcare.org.uk/Adult-Social-Care-Workforce-Data/Workforce-intelligence/documents/Local-authority-area-summary-reports/South-East/2022/Oxfordshire-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52fd39-db9a-4de6-a564-bf430038ff63">
      <UserInfo>
        <DisplayName>Coombes, Hannah - Oxfordshire County Council</DisplayName>
        <AccountId>20</AccountId>
        <AccountType/>
      </UserInfo>
    </SharedWithUsers>
    <lcf76f155ced4ddcb4097134ff3c332f xmlns="439d6c27-2b38-48b3-b365-fda992ebed16">
      <Terms xmlns="http://schemas.microsoft.com/office/infopath/2007/PartnerControls"/>
    </lcf76f155ced4ddcb4097134ff3c332f>
    <TaxCatchAll xmlns="32fb1bc9-b631-4e22-b54d-cfca9bf0c4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8" ma:contentTypeDescription="Create a new document." ma:contentTypeScope="" ma:versionID="7792b0b87190694c2723b91dda21d677">
  <xsd:schema xmlns:xsd="http://www.w3.org/2001/XMLSchema" xmlns:xs="http://www.w3.org/2001/XMLSchema" xmlns:p="http://schemas.microsoft.com/office/2006/metadata/properties" xmlns:ns2="439d6c27-2b38-48b3-b365-fda992ebed16" xmlns:ns3="3452fd39-db9a-4de6-a564-bf430038ff63" xmlns:ns4="32fb1bc9-b631-4e22-b54d-cfca9bf0c409" targetNamespace="http://schemas.microsoft.com/office/2006/metadata/properties" ma:root="true" ma:fieldsID="651858cc920c4291930e5745aea916a9" ns2:_="" ns3:_="" ns4:_="">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fd6acf-8861-4d8b-b9e0-414da8de8643}"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AABE5-704E-4D7E-AC81-6309221E608D}">
  <ds:schemaRefs>
    <ds:schemaRef ds:uri="http://www.w3.org/XML/1998/namespace"/>
    <ds:schemaRef ds:uri="http://purl.org/dc/elements/1.1/"/>
    <ds:schemaRef ds:uri="http://purl.org/dc/terms/"/>
    <ds:schemaRef ds:uri="439d6c27-2b38-48b3-b365-fda992ebed16"/>
    <ds:schemaRef ds:uri="http://purl.org/dc/dcmitype/"/>
    <ds:schemaRef ds:uri="3452fd39-db9a-4de6-a564-bf430038ff63"/>
    <ds:schemaRef ds:uri="http://schemas.openxmlformats.org/package/2006/metadata/core-properties"/>
    <ds:schemaRef ds:uri="http://schemas.microsoft.com/office/2006/documentManagement/types"/>
    <ds:schemaRef ds:uri="32fb1bc9-b631-4e22-b54d-cfca9bf0c409"/>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554644E-BCDC-48AE-87F4-74451B512BAF}">
  <ds:schemaRefs>
    <ds:schemaRef ds:uri="http://schemas.openxmlformats.org/officeDocument/2006/bibliography"/>
  </ds:schemaRefs>
</ds:datastoreItem>
</file>

<file path=customXml/itemProps3.xml><?xml version="1.0" encoding="utf-8"?>
<ds:datastoreItem xmlns:ds="http://schemas.openxmlformats.org/officeDocument/2006/customXml" ds:itemID="{C2BAC10E-51E8-4EBA-B692-CA10CB9FF59C}">
  <ds:schemaRefs>
    <ds:schemaRef ds:uri="http://schemas.microsoft.com/sharepoint/v3/contenttype/forms"/>
  </ds:schemaRefs>
</ds:datastoreItem>
</file>

<file path=customXml/itemProps4.xml><?xml version="1.0" encoding="utf-8"?>
<ds:datastoreItem xmlns:ds="http://schemas.openxmlformats.org/officeDocument/2006/customXml" ds:itemID="{56E55508-8DA6-40EC-B64F-3944ACEBC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3461</Words>
  <Characters>19734</Characters>
  <Application>Microsoft Office Word</Application>
  <DocSecurity>4</DocSecurity>
  <Lines>164</Lines>
  <Paragraphs>46</Paragraphs>
  <ScaleCrop>false</ScaleCrop>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Kakkar, Jas - Oxfordshire County Council</dc:creator>
  <cp:keywords/>
  <dc:description/>
  <cp:lastModifiedBy>White, Suzanne - Oxfordshire County Council</cp:lastModifiedBy>
  <cp:revision>2</cp:revision>
  <cp:lastPrinted>2024-05-28T12:05:00Z</cp:lastPrinted>
  <dcterms:created xsi:type="dcterms:W3CDTF">2024-08-01T08:42:00Z</dcterms:created>
  <dcterms:modified xsi:type="dcterms:W3CDTF">2024-08-01T08:42:00Z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y fmtid="{D5CDD505-2E9C-101B-9397-08002B2CF9AE}" pid="3" name="MediaServiceImageTags">
    <vt:lpwstr/>
  </property>
</Properties>
</file>