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0F16" w14:textId="77777777" w:rsidR="00722F02" w:rsidRDefault="00722F02" w:rsidP="00722F02">
      <w:pPr>
        <w:jc w:val="right"/>
      </w:pPr>
      <w:r>
        <w:t xml:space="preserve">                                                                                                                        </w:t>
      </w:r>
    </w:p>
    <w:p w14:paraId="4EAB990E" w14:textId="77777777" w:rsidR="00722F02" w:rsidRDefault="00722F02" w:rsidP="00722F02">
      <w:pPr>
        <w:jc w:val="right"/>
      </w:pPr>
      <w:r>
        <w:rPr>
          <w:noProof/>
          <w:lang w:eastAsia="en-GB"/>
        </w:rPr>
        <w:drawing>
          <wp:inline distT="0" distB="0" distL="0" distR="0" wp14:anchorId="44A1BE62" wp14:editId="5A2FF83F">
            <wp:extent cx="2362200" cy="647700"/>
            <wp:effectExtent l="0" t="0" r="0" b="0"/>
            <wp:docPr id="113" name="Picture 113" descr="Logo of Oxfordshire County Council"/>
            <wp:cNvGraphicFramePr/>
            <a:graphic xmlns:a="http://schemas.openxmlformats.org/drawingml/2006/main">
              <a:graphicData uri="http://schemas.openxmlformats.org/drawingml/2006/picture">
                <pic:pic xmlns:pic="http://schemas.openxmlformats.org/drawingml/2006/picture">
                  <pic:nvPicPr>
                    <pic:cNvPr id="113" name="Picture 113" descr="Logo of Oxfordshire County Council"/>
                    <pic:cNvPicPr/>
                  </pic:nvPicPr>
                  <pic:blipFill>
                    <a:blip r:embed="rId5" cstate="print">
                      <a:lum bright="-2000" contrast="42000"/>
                      <a:extLst>
                        <a:ext uri="{28A0092B-C50C-407E-A947-70E740481C1C}">
                          <a14:useLocalDpi xmlns:a14="http://schemas.microsoft.com/office/drawing/2010/main" val="0"/>
                        </a:ext>
                      </a:extLst>
                    </a:blip>
                    <a:srcRect/>
                    <a:stretch>
                      <a:fillRect/>
                    </a:stretch>
                  </pic:blipFill>
                  <pic:spPr bwMode="auto">
                    <a:xfrm>
                      <a:off x="0" y="0"/>
                      <a:ext cx="2362200" cy="647700"/>
                    </a:xfrm>
                    <a:prstGeom prst="rect">
                      <a:avLst/>
                    </a:prstGeom>
                    <a:solidFill>
                      <a:srgbClr val="D4F2E4"/>
                    </a:solidFill>
                    <a:ln>
                      <a:noFill/>
                    </a:ln>
                  </pic:spPr>
                </pic:pic>
              </a:graphicData>
            </a:graphic>
          </wp:inline>
        </w:drawing>
      </w:r>
      <w:r>
        <w:t xml:space="preserve">  </w:t>
      </w:r>
    </w:p>
    <w:p w14:paraId="281B94AA" w14:textId="77777777" w:rsidR="00722F02" w:rsidRDefault="00722F02" w:rsidP="00722F02"/>
    <w:p w14:paraId="45230AC9" w14:textId="77777777" w:rsidR="00722F02" w:rsidRPr="00722F02" w:rsidRDefault="00722F02" w:rsidP="00722F02">
      <w:pPr>
        <w:rPr>
          <w:b/>
          <w:sz w:val="28"/>
          <w:szCs w:val="28"/>
        </w:rPr>
      </w:pPr>
      <w:r w:rsidRPr="00722F02">
        <w:rPr>
          <w:b/>
          <w:sz w:val="28"/>
          <w:szCs w:val="28"/>
        </w:rPr>
        <w:t>GUIDANCE FOR EARLY YEARS</w:t>
      </w:r>
    </w:p>
    <w:p w14:paraId="6C61905E" w14:textId="77777777" w:rsidR="00722F02" w:rsidRDefault="00722F02" w:rsidP="00722F02"/>
    <w:p w14:paraId="75EC4DB2" w14:textId="77777777" w:rsidR="00FD3A85" w:rsidRPr="00722F02" w:rsidRDefault="00722F02" w:rsidP="00722F02">
      <w:pPr>
        <w:rPr>
          <w:b/>
          <w:sz w:val="28"/>
          <w:szCs w:val="28"/>
        </w:rPr>
      </w:pPr>
      <w:r w:rsidRPr="00722F02">
        <w:rPr>
          <w:b/>
          <w:sz w:val="28"/>
          <w:szCs w:val="28"/>
        </w:rPr>
        <w:t>Concerns about a child not making progress</w:t>
      </w:r>
    </w:p>
    <w:p w14:paraId="056DA712" w14:textId="77777777" w:rsidR="00722F02" w:rsidRDefault="00722F02" w:rsidP="00722F02">
      <w:pPr>
        <w:rPr>
          <w:sz w:val="28"/>
          <w:szCs w:val="28"/>
        </w:rPr>
      </w:pPr>
    </w:p>
    <w:p w14:paraId="5AAF0553" w14:textId="77777777" w:rsidR="00722F02" w:rsidRDefault="00722F02" w:rsidP="00722F02">
      <w:r>
        <w:t>What is already in place?</w:t>
      </w:r>
    </w:p>
    <w:p w14:paraId="076C2C4E" w14:textId="77777777" w:rsidR="00722F02" w:rsidRDefault="00722F02" w:rsidP="00722F02"/>
    <w:p w14:paraId="5BEC5612" w14:textId="77777777" w:rsidR="00722F02" w:rsidRDefault="00722F02" w:rsidP="00722F02">
      <w:pPr>
        <w:ind w:left="284"/>
      </w:pPr>
      <w:r>
        <w:t>-</w:t>
      </w:r>
      <w:r>
        <w:tab/>
        <w:t>Statutory Framework for the Early Years Foundation Stage.</w:t>
      </w:r>
    </w:p>
    <w:p w14:paraId="14AED10D" w14:textId="77777777" w:rsidR="00722F02" w:rsidRDefault="00722F02" w:rsidP="00722F02">
      <w:pPr>
        <w:ind w:left="284"/>
      </w:pPr>
      <w:r>
        <w:t>-</w:t>
      </w:r>
      <w:r>
        <w:tab/>
        <w:t>Key person.</w:t>
      </w:r>
    </w:p>
    <w:p w14:paraId="11969167" w14:textId="77777777" w:rsidR="00722F02" w:rsidRDefault="00722F02" w:rsidP="00722F02">
      <w:pPr>
        <w:ind w:left="284"/>
      </w:pPr>
      <w:r>
        <w:t>-</w:t>
      </w:r>
      <w:r>
        <w:tab/>
        <w:t>Learning Journey</w:t>
      </w:r>
    </w:p>
    <w:p w14:paraId="5854E04D" w14:textId="77777777" w:rsidR="00722F02" w:rsidRDefault="00722F02" w:rsidP="00722F02">
      <w:pPr>
        <w:ind w:left="284"/>
      </w:pPr>
      <w:r>
        <w:t>-</w:t>
      </w:r>
      <w:r>
        <w:tab/>
        <w:t>Continual assessment, plan, do review process</w:t>
      </w:r>
    </w:p>
    <w:p w14:paraId="4B2DD98A" w14:textId="77777777" w:rsidR="00722F02" w:rsidRDefault="00722F02" w:rsidP="00722F02">
      <w:pPr>
        <w:ind w:left="284"/>
      </w:pPr>
      <w:r>
        <w:t>-</w:t>
      </w:r>
      <w:r>
        <w:tab/>
        <w:t>Recording and tracking progress.  Oxfordshire online tracking tool, Early Years outcomes</w:t>
      </w:r>
    </w:p>
    <w:p w14:paraId="38FF6EBB" w14:textId="77777777" w:rsidR="00722F02" w:rsidRDefault="00722F02" w:rsidP="00722F02">
      <w:pPr>
        <w:ind w:left="284"/>
      </w:pPr>
      <w:r>
        <w:t>-</w:t>
      </w:r>
      <w:r>
        <w:tab/>
        <w:t>Partnership with parents</w:t>
      </w:r>
    </w:p>
    <w:p w14:paraId="3A47CF7B" w14:textId="77777777" w:rsidR="002E1DA8" w:rsidRDefault="002E1DA8" w:rsidP="00722F02">
      <w:pPr>
        <w:ind w:left="284"/>
      </w:pPr>
    </w:p>
    <w:tbl>
      <w:tblPr>
        <w:tblStyle w:val="TableGrid"/>
        <w:tblW w:w="0" w:type="auto"/>
        <w:tblInd w:w="284" w:type="dxa"/>
        <w:tblLook w:val="04A0" w:firstRow="1" w:lastRow="0" w:firstColumn="1" w:lastColumn="0" w:noHBand="0" w:noVBand="1"/>
      </w:tblPr>
      <w:tblGrid>
        <w:gridCol w:w="9997"/>
      </w:tblGrid>
      <w:tr w:rsidR="00722F02" w14:paraId="4E999B89" w14:textId="77777777" w:rsidTr="00722F02">
        <w:tc>
          <w:tcPr>
            <w:tcW w:w="9997" w:type="dxa"/>
          </w:tcPr>
          <w:p w14:paraId="6FEF6976" w14:textId="59CE465A" w:rsidR="00722F02" w:rsidRDefault="00141715" w:rsidP="00722F02">
            <w:r>
              <w:t>Refer to pages 10 and 11</w:t>
            </w:r>
            <w:r w:rsidR="00722F02">
              <w:t xml:space="preserve"> –</w:t>
            </w:r>
            <w:r w:rsidR="005113C9">
              <w:t xml:space="preserve"> </w:t>
            </w:r>
            <w:r w:rsidR="0082416A">
              <w:t>‘</w:t>
            </w:r>
            <w:r w:rsidR="00722F02" w:rsidRPr="00722F02">
              <w:rPr>
                <w:b/>
              </w:rPr>
              <w:t>Special Educational Needs</w:t>
            </w:r>
            <w:r w:rsidR="00AA5666">
              <w:rPr>
                <w:b/>
              </w:rPr>
              <w:t xml:space="preserve"> Support </w:t>
            </w:r>
            <w:r w:rsidR="00722F02" w:rsidRPr="00722F02">
              <w:rPr>
                <w:b/>
              </w:rPr>
              <w:t>in Oxfordshire Schools and Settings’</w:t>
            </w:r>
            <w:r w:rsidR="00722F02">
              <w:rPr>
                <w:b/>
              </w:rPr>
              <w:t xml:space="preserve"> </w:t>
            </w:r>
            <w:r w:rsidR="00722F02">
              <w:t>to help consider the needs of the child, plan and implement next steps to support.</w:t>
            </w:r>
          </w:p>
          <w:p w14:paraId="4EADD485" w14:textId="77777777" w:rsidR="00722F02" w:rsidRDefault="00722F02" w:rsidP="00722F02"/>
          <w:p w14:paraId="7DBEC782" w14:textId="77777777" w:rsidR="00722F02" w:rsidRDefault="00722F02" w:rsidP="00722F02">
            <w:r>
              <w:t>Review impact of actions with parents.</w:t>
            </w:r>
          </w:p>
          <w:p w14:paraId="1AF8B439" w14:textId="77777777" w:rsidR="00722F02" w:rsidRDefault="00722F02" w:rsidP="00722F02"/>
          <w:p w14:paraId="5226BB0F" w14:textId="77777777" w:rsidR="00722F02" w:rsidRDefault="00722F02" w:rsidP="00722F02">
            <w:r>
              <w:t>In concerns continue – consider the following:</w:t>
            </w:r>
          </w:p>
          <w:p w14:paraId="32E30BD0" w14:textId="77777777" w:rsidR="00722F02" w:rsidRDefault="00722F02" w:rsidP="00722F02"/>
          <w:p w14:paraId="4B48EA7A" w14:textId="77777777" w:rsidR="00722F02" w:rsidRDefault="00722F02" w:rsidP="00722F02">
            <w:pPr>
              <w:ind w:left="360"/>
            </w:pPr>
            <w:r>
              <w:t>-</w:t>
            </w:r>
            <w:r>
              <w:tab/>
            </w:r>
            <w:r w:rsidR="006B150A">
              <w:t xml:space="preserve">Linking with the child’s </w:t>
            </w:r>
            <w:r w:rsidR="006B150A" w:rsidRPr="006B150A">
              <w:rPr>
                <w:b/>
              </w:rPr>
              <w:t>Health Visitor</w:t>
            </w:r>
            <w:r w:rsidR="006B150A">
              <w:t xml:space="preserve"> with parental consent for help in </w:t>
            </w:r>
            <w:r w:rsidR="006B150A">
              <w:tab/>
              <w:t>understanding and supporting the child’s needs</w:t>
            </w:r>
          </w:p>
          <w:p w14:paraId="475821D6" w14:textId="77777777" w:rsidR="006B150A" w:rsidRDefault="006B150A" w:rsidP="00722F02">
            <w:pPr>
              <w:ind w:left="360"/>
            </w:pPr>
            <w:r>
              <w:t>-</w:t>
            </w:r>
            <w:r>
              <w:tab/>
              <w:t xml:space="preserve">Access to therapy services via </w:t>
            </w:r>
            <w:r>
              <w:rPr>
                <w:b/>
              </w:rPr>
              <w:t xml:space="preserve">Single Point of Request for Involvement </w:t>
            </w:r>
            <w:r>
              <w:rPr>
                <w:b/>
              </w:rPr>
              <w:tab/>
              <w:t xml:space="preserve">(SPORFI), </w:t>
            </w:r>
            <w:r w:rsidR="002E1DA8">
              <w:rPr>
                <w:b/>
              </w:rPr>
              <w:tab/>
            </w:r>
            <w:r>
              <w:t>if appropriate</w:t>
            </w:r>
          </w:p>
          <w:p w14:paraId="1B16EE94" w14:textId="165DCF71" w:rsidR="006B150A" w:rsidRDefault="006B150A" w:rsidP="0043534B">
            <w:pPr>
              <w:ind w:left="360"/>
            </w:pPr>
            <w:r>
              <w:t>-</w:t>
            </w:r>
            <w:r>
              <w:tab/>
              <w:t>Named or no name consultation with EYSEN</w:t>
            </w:r>
            <w:r w:rsidR="0043534B">
              <w:t xml:space="preserve"> Team</w:t>
            </w:r>
            <w:r w:rsidR="009D7964">
              <w:t xml:space="preserve"> i</w:t>
            </w:r>
            <w:r w:rsidR="009C47C0">
              <w:t>f</w:t>
            </w:r>
            <w:r w:rsidR="0043534B">
              <w:t xml:space="preserve"> </w:t>
            </w:r>
            <w:r>
              <w:t>appropriate</w:t>
            </w:r>
          </w:p>
          <w:p w14:paraId="59CB6374" w14:textId="7392F1DD" w:rsidR="006B150A" w:rsidRDefault="006B150A" w:rsidP="00722F02">
            <w:pPr>
              <w:ind w:left="360"/>
            </w:pPr>
            <w:r>
              <w:t>-</w:t>
            </w:r>
            <w:r>
              <w:tab/>
              <w:t xml:space="preserve">Use of </w:t>
            </w:r>
            <w:hyperlink r:id="rId6" w:history="1">
              <w:r w:rsidR="0043534B" w:rsidRPr="0043534B">
                <w:rPr>
                  <w:rStyle w:val="Hyperlink"/>
                </w:rPr>
                <w:t>Early Help Strength and Needs Form</w:t>
              </w:r>
            </w:hyperlink>
            <w:r w:rsidR="0043534B">
              <w:t xml:space="preserve"> if appropriate</w:t>
            </w:r>
          </w:p>
          <w:p w14:paraId="6AB3421D" w14:textId="77777777" w:rsidR="006B150A" w:rsidRDefault="006B150A" w:rsidP="00722F02">
            <w:pPr>
              <w:ind w:left="360"/>
            </w:pPr>
          </w:p>
          <w:p w14:paraId="79FC3EBA" w14:textId="5D8CDFE3" w:rsidR="006B150A" w:rsidRDefault="00141715" w:rsidP="006B150A">
            <w:r>
              <w:t>Refer to page 12 onwards</w:t>
            </w:r>
            <w:r w:rsidR="006B150A">
              <w:t xml:space="preserve"> of the above document to identify and support SEN and specific area(s) of need.</w:t>
            </w:r>
          </w:p>
          <w:p w14:paraId="5CFF70DC" w14:textId="77777777" w:rsidR="006B150A" w:rsidRPr="006B150A" w:rsidRDefault="006B150A" w:rsidP="006B150A"/>
        </w:tc>
      </w:tr>
    </w:tbl>
    <w:p w14:paraId="75F0BB05" w14:textId="77777777" w:rsidR="00722F02" w:rsidRDefault="00722F02" w:rsidP="00722F02">
      <w:pPr>
        <w:ind w:left="284"/>
      </w:pPr>
    </w:p>
    <w:tbl>
      <w:tblPr>
        <w:tblStyle w:val="TableGrid"/>
        <w:tblW w:w="0" w:type="auto"/>
        <w:tblInd w:w="284" w:type="dxa"/>
        <w:tblLook w:val="04A0" w:firstRow="1" w:lastRow="0" w:firstColumn="1" w:lastColumn="0" w:noHBand="0" w:noVBand="1"/>
      </w:tblPr>
      <w:tblGrid>
        <w:gridCol w:w="9997"/>
      </w:tblGrid>
      <w:tr w:rsidR="006B150A" w14:paraId="61F7E179" w14:textId="77777777" w:rsidTr="006B150A">
        <w:tc>
          <w:tcPr>
            <w:tcW w:w="9997" w:type="dxa"/>
          </w:tcPr>
          <w:p w14:paraId="2F43B05E" w14:textId="5D27CEE5" w:rsidR="006B150A" w:rsidRDefault="006B150A" w:rsidP="00722F02">
            <w:pPr>
              <w:rPr>
                <w:b/>
              </w:rPr>
            </w:pPr>
            <w:r>
              <w:rPr>
                <w:b/>
              </w:rPr>
              <w:t>Early Years SEN Support for a child includes:</w:t>
            </w:r>
          </w:p>
          <w:p w14:paraId="52D1E23C" w14:textId="77777777" w:rsidR="006B150A" w:rsidRDefault="006B150A" w:rsidP="00722F02">
            <w:pPr>
              <w:rPr>
                <w:b/>
              </w:rPr>
            </w:pPr>
          </w:p>
          <w:p w14:paraId="58E0FAB3" w14:textId="404E6F31" w:rsidR="006B150A" w:rsidRDefault="00A85497" w:rsidP="006B150A">
            <w:pPr>
              <w:pStyle w:val="ListParagraph"/>
              <w:numPr>
                <w:ilvl w:val="0"/>
                <w:numId w:val="4"/>
              </w:numPr>
              <w:rPr>
                <w:b/>
              </w:rPr>
            </w:pPr>
            <w:r>
              <w:rPr>
                <w:b/>
              </w:rPr>
              <w:t>SEN</w:t>
            </w:r>
            <w:r w:rsidR="006B150A">
              <w:rPr>
                <w:b/>
              </w:rPr>
              <w:t xml:space="preserve"> Support and Outcomes Plan</w:t>
            </w:r>
          </w:p>
          <w:p w14:paraId="49FE9C3D" w14:textId="77777777" w:rsidR="006B150A" w:rsidRDefault="006B150A" w:rsidP="006B150A">
            <w:pPr>
              <w:pStyle w:val="ListParagraph"/>
              <w:numPr>
                <w:ilvl w:val="0"/>
                <w:numId w:val="4"/>
              </w:numPr>
              <w:rPr>
                <w:b/>
              </w:rPr>
            </w:pPr>
            <w:r>
              <w:rPr>
                <w:b/>
              </w:rPr>
              <w:t>Regular reviews</w:t>
            </w:r>
          </w:p>
          <w:p w14:paraId="47BCA9A0" w14:textId="77777777" w:rsidR="006B150A" w:rsidRDefault="006B150A" w:rsidP="006B150A">
            <w:pPr>
              <w:pStyle w:val="ListParagraph"/>
              <w:numPr>
                <w:ilvl w:val="0"/>
                <w:numId w:val="4"/>
              </w:numPr>
              <w:rPr>
                <w:b/>
              </w:rPr>
            </w:pPr>
            <w:r>
              <w:rPr>
                <w:b/>
              </w:rPr>
              <w:t>Early Years SEN EYFS Progress monitoring and individual intervention record.</w:t>
            </w:r>
          </w:p>
          <w:p w14:paraId="2BC43452" w14:textId="77777777" w:rsidR="006B150A" w:rsidRPr="006B150A" w:rsidRDefault="006B150A" w:rsidP="006B150A">
            <w:pPr>
              <w:pStyle w:val="ListParagraph"/>
              <w:numPr>
                <w:ilvl w:val="0"/>
                <w:numId w:val="4"/>
              </w:numPr>
              <w:rPr>
                <w:b/>
              </w:rPr>
            </w:pPr>
            <w:r>
              <w:t xml:space="preserve">Access to additional specialist services via </w:t>
            </w:r>
            <w:r>
              <w:rPr>
                <w:b/>
              </w:rPr>
              <w:t xml:space="preserve">Single Point of Request for Involvement (SPORFI) </w:t>
            </w:r>
            <w:r>
              <w:t>if appropriate.</w:t>
            </w:r>
          </w:p>
          <w:p w14:paraId="2117F56C" w14:textId="77777777" w:rsidR="006B150A" w:rsidRPr="006B150A" w:rsidRDefault="006B150A" w:rsidP="006B150A">
            <w:pPr>
              <w:pStyle w:val="ListParagraph"/>
              <w:numPr>
                <w:ilvl w:val="0"/>
                <w:numId w:val="4"/>
              </w:numPr>
              <w:rPr>
                <w:b/>
              </w:rPr>
            </w:pPr>
            <w:r>
              <w:t xml:space="preserve">Use of additional resources where appropriate, such as </w:t>
            </w:r>
            <w:r w:rsidRPr="006B150A">
              <w:rPr>
                <w:b/>
              </w:rPr>
              <w:t>Early Support</w:t>
            </w:r>
            <w:r>
              <w:t xml:space="preserve"> </w:t>
            </w:r>
            <w:r w:rsidRPr="006B150A">
              <w:rPr>
                <w:b/>
              </w:rPr>
              <w:t>Developmental Journals</w:t>
            </w:r>
            <w:r>
              <w:t xml:space="preserve"> and </w:t>
            </w:r>
            <w:r w:rsidRPr="006B150A">
              <w:rPr>
                <w:b/>
              </w:rPr>
              <w:t>Practice Guide</w:t>
            </w:r>
            <w:r>
              <w:t>.</w:t>
            </w:r>
          </w:p>
          <w:p w14:paraId="533D7FDC" w14:textId="158C96E9" w:rsidR="007E549A" w:rsidRPr="007E549A" w:rsidRDefault="006B150A" w:rsidP="007E549A">
            <w:pPr>
              <w:pStyle w:val="ListParagraph"/>
              <w:numPr>
                <w:ilvl w:val="0"/>
                <w:numId w:val="4"/>
              </w:numPr>
              <w:rPr>
                <w:b/>
              </w:rPr>
            </w:pPr>
            <w:r>
              <w:t xml:space="preserve">Access to </w:t>
            </w:r>
            <w:r w:rsidRPr="002E1DA8">
              <w:rPr>
                <w:b/>
              </w:rPr>
              <w:t>Inclusion</w:t>
            </w:r>
            <w:r>
              <w:t xml:space="preserve"> funding </w:t>
            </w:r>
            <w:r w:rsidR="002E1DA8">
              <w:t xml:space="preserve">via </w:t>
            </w:r>
            <w:r w:rsidR="00AA5666">
              <w:t xml:space="preserve">identification on the </w:t>
            </w:r>
            <w:r w:rsidR="0043534B">
              <w:t>Establishment Portal</w:t>
            </w:r>
            <w:r w:rsidR="00AA5666">
              <w:t xml:space="preserve"> where appropriate</w:t>
            </w:r>
            <w:r w:rsidR="007E549A">
              <w:t xml:space="preserve"> - </w:t>
            </w:r>
            <w:r w:rsidR="0043534B">
              <w:t xml:space="preserve">See </w:t>
            </w:r>
            <w:r w:rsidR="00312418">
              <w:t xml:space="preserve"> </w:t>
            </w:r>
            <w:hyperlink r:id="rId7" w:history="1">
              <w:r w:rsidR="00312418" w:rsidRPr="00312418">
                <w:rPr>
                  <w:rStyle w:val="Hyperlink"/>
                </w:rPr>
                <w:t>'Accessing Additional Resources (EY SEND funding)'</w:t>
              </w:r>
            </w:hyperlink>
            <w:r w:rsidR="0043534B">
              <w:t>‘</w:t>
            </w:r>
            <w:r w:rsidR="007E549A">
              <w:t>on OCC website</w:t>
            </w:r>
          </w:p>
          <w:p w14:paraId="389CE3DB" w14:textId="72043007" w:rsidR="002E1DA8" w:rsidRPr="00A440B4" w:rsidRDefault="002E1DA8" w:rsidP="006B150A">
            <w:pPr>
              <w:pStyle w:val="ListParagraph"/>
              <w:numPr>
                <w:ilvl w:val="0"/>
                <w:numId w:val="4"/>
              </w:numPr>
              <w:rPr>
                <w:b/>
              </w:rPr>
            </w:pPr>
            <w:r>
              <w:t xml:space="preserve">Access to </w:t>
            </w:r>
            <w:r w:rsidRPr="002E1DA8">
              <w:rPr>
                <w:b/>
              </w:rPr>
              <w:t>Additional</w:t>
            </w:r>
            <w:r>
              <w:t xml:space="preserve"> funding via </w:t>
            </w:r>
            <w:hyperlink r:id="rId8" w:history="1">
              <w:r w:rsidRPr="00312418">
                <w:rPr>
                  <w:rStyle w:val="Hyperlink"/>
                </w:rPr>
                <w:t>application</w:t>
              </w:r>
            </w:hyperlink>
            <w:r>
              <w:t xml:space="preserve"> where appropriate.</w:t>
            </w:r>
          </w:p>
          <w:p w14:paraId="75DE0878" w14:textId="77777777" w:rsidR="00A440B4" w:rsidRPr="006B150A" w:rsidRDefault="00A440B4" w:rsidP="00A440B4">
            <w:pPr>
              <w:pStyle w:val="ListParagraph"/>
              <w:rPr>
                <w:b/>
              </w:rPr>
            </w:pPr>
          </w:p>
        </w:tc>
      </w:tr>
    </w:tbl>
    <w:p w14:paraId="7D91BEC9" w14:textId="77777777" w:rsidR="006B150A" w:rsidRDefault="006B150A" w:rsidP="00722F02">
      <w:pPr>
        <w:ind w:left="284"/>
      </w:pPr>
    </w:p>
    <w:p w14:paraId="5B51316F" w14:textId="77777777" w:rsidR="002E1DA8" w:rsidRDefault="002E1DA8" w:rsidP="00722F02">
      <w:pPr>
        <w:ind w:left="284"/>
      </w:pPr>
    </w:p>
    <w:p w14:paraId="54E25873" w14:textId="77777777" w:rsidR="002E1DA8" w:rsidRDefault="002E1DA8" w:rsidP="00722F02">
      <w:pPr>
        <w:ind w:left="284"/>
      </w:pPr>
    </w:p>
    <w:p w14:paraId="0A68078D" w14:textId="77777777" w:rsidR="002E1DA8" w:rsidRDefault="002E1DA8" w:rsidP="00722F02">
      <w:pPr>
        <w:ind w:left="284"/>
      </w:pPr>
    </w:p>
    <w:p w14:paraId="53F6628B" w14:textId="77777777" w:rsidR="002E1DA8" w:rsidRDefault="002E1DA8" w:rsidP="00722F02">
      <w:pPr>
        <w:ind w:left="284"/>
      </w:pPr>
    </w:p>
    <w:p w14:paraId="2E2F62C9" w14:textId="77777777" w:rsidR="002E1DA8" w:rsidRDefault="002E1DA8" w:rsidP="00722F02">
      <w:pPr>
        <w:ind w:left="284"/>
      </w:pPr>
    </w:p>
    <w:p w14:paraId="6AED8F42" w14:textId="77777777" w:rsidR="00A440B4" w:rsidRDefault="00A440B4" w:rsidP="00722F02">
      <w:pPr>
        <w:ind w:left="284"/>
      </w:pPr>
    </w:p>
    <w:p w14:paraId="369DD9CD" w14:textId="77777777" w:rsidR="00A440B4" w:rsidRDefault="00A440B4" w:rsidP="00722F02">
      <w:pPr>
        <w:ind w:left="284"/>
      </w:pPr>
    </w:p>
    <w:p w14:paraId="60B96D01" w14:textId="299F3E5A" w:rsidR="002E1DA8" w:rsidRDefault="002E1DA8" w:rsidP="00A440B4">
      <w:pPr>
        <w:ind w:left="284" w:hanging="284"/>
      </w:pPr>
      <w:r w:rsidRPr="002E1DA8">
        <w:rPr>
          <w:b/>
        </w:rPr>
        <w:t xml:space="preserve">EARLY YEARS </w:t>
      </w:r>
      <w:r w:rsidR="00A85497">
        <w:rPr>
          <w:b/>
        </w:rPr>
        <w:t>SEND</w:t>
      </w:r>
      <w:r w:rsidRPr="002E1DA8">
        <w:rPr>
          <w:b/>
        </w:rPr>
        <w:t xml:space="preserve"> SUPPORT</w:t>
      </w:r>
      <w:r>
        <w:t xml:space="preserve"> is informed by:</w:t>
      </w:r>
    </w:p>
    <w:p w14:paraId="4497AFE8" w14:textId="77777777" w:rsidR="002E1DA8" w:rsidRDefault="002E1DA8" w:rsidP="00722F02">
      <w:pPr>
        <w:ind w:left="284"/>
      </w:pPr>
    </w:p>
    <w:p w14:paraId="0A442A61" w14:textId="77777777" w:rsidR="002E1DA8" w:rsidRDefault="002E1DA8" w:rsidP="002E1DA8">
      <w:pPr>
        <w:pStyle w:val="ListParagraph"/>
        <w:numPr>
          <w:ilvl w:val="0"/>
          <w:numId w:val="5"/>
        </w:numPr>
        <w:ind w:hanging="720"/>
      </w:pPr>
      <w:r>
        <w:t>Learning journey</w:t>
      </w:r>
    </w:p>
    <w:p w14:paraId="741A8F92" w14:textId="77777777" w:rsidR="002E1DA8" w:rsidRDefault="002E1DA8" w:rsidP="002E1DA8">
      <w:pPr>
        <w:pStyle w:val="ListParagraph"/>
        <w:numPr>
          <w:ilvl w:val="0"/>
          <w:numId w:val="5"/>
        </w:numPr>
        <w:ind w:hanging="720"/>
      </w:pPr>
      <w:r>
        <w:t>All About Me</w:t>
      </w:r>
    </w:p>
    <w:p w14:paraId="3A02C70E" w14:textId="77777777" w:rsidR="002E1DA8" w:rsidRDefault="002E1DA8" w:rsidP="002E1DA8">
      <w:pPr>
        <w:pStyle w:val="ListParagraph"/>
        <w:numPr>
          <w:ilvl w:val="0"/>
          <w:numId w:val="5"/>
        </w:numPr>
        <w:ind w:hanging="720"/>
      </w:pPr>
      <w:r>
        <w:t>Strengths</w:t>
      </w:r>
    </w:p>
    <w:p w14:paraId="179B3709" w14:textId="24F488D2" w:rsidR="002E1DA8" w:rsidRDefault="002E1DA8" w:rsidP="002E1DA8">
      <w:pPr>
        <w:pStyle w:val="ListParagraph"/>
        <w:numPr>
          <w:ilvl w:val="0"/>
          <w:numId w:val="5"/>
        </w:numPr>
        <w:ind w:hanging="720"/>
      </w:pPr>
      <w:r>
        <w:t>Area of need – See OCC SEN Guidance ‘</w:t>
      </w:r>
      <w:r w:rsidRPr="002E1DA8">
        <w:t>Identifying and supporting Special Educational Needs in Oxfordshire Schools and Settings’</w:t>
      </w:r>
      <w:r w:rsidR="00A440B4">
        <w:t xml:space="preserve"> </w:t>
      </w:r>
    </w:p>
    <w:p w14:paraId="389B0AAB" w14:textId="77777777" w:rsidR="00A440B4" w:rsidRDefault="00A440B4" w:rsidP="002E1DA8">
      <w:pPr>
        <w:pStyle w:val="ListParagraph"/>
        <w:numPr>
          <w:ilvl w:val="0"/>
          <w:numId w:val="5"/>
        </w:numPr>
        <w:ind w:hanging="720"/>
      </w:pPr>
      <w:r>
        <w:t>Gain</w:t>
      </w:r>
      <w:r w:rsidR="00AA5666">
        <w:t>ing</w:t>
      </w:r>
      <w:r>
        <w:t xml:space="preserve"> parent’s aspirations/hopes and use these to inform outcomes and next steps.</w:t>
      </w:r>
    </w:p>
    <w:p w14:paraId="2EF51704" w14:textId="77777777" w:rsidR="00A440B4" w:rsidRDefault="00A440B4" w:rsidP="002E1DA8">
      <w:pPr>
        <w:pStyle w:val="ListParagraph"/>
        <w:numPr>
          <w:ilvl w:val="0"/>
          <w:numId w:val="5"/>
        </w:numPr>
        <w:ind w:hanging="720"/>
      </w:pPr>
      <w:r>
        <w:t>Support</w:t>
      </w:r>
      <w:r w:rsidR="00AA5666">
        <w:t>ing</w:t>
      </w:r>
      <w:r>
        <w:t xml:space="preserve"> child using SEN Support and Outcomes Plan, including monitoring of progress and strategies/interventions/provision</w:t>
      </w:r>
      <w:r w:rsidR="00BE5B96">
        <w:t>.</w:t>
      </w:r>
    </w:p>
    <w:p w14:paraId="0B80C694" w14:textId="77777777" w:rsidR="00A440B4" w:rsidRDefault="00A440B4" w:rsidP="002E1DA8">
      <w:pPr>
        <w:pStyle w:val="ListParagraph"/>
        <w:numPr>
          <w:ilvl w:val="0"/>
          <w:numId w:val="5"/>
        </w:numPr>
        <w:ind w:hanging="720"/>
      </w:pPr>
      <w:r>
        <w:t>Review</w:t>
      </w:r>
      <w:r w:rsidR="00AA5666">
        <w:t>ing</w:t>
      </w:r>
      <w:r>
        <w:t xml:space="preserve"> at least 3 times a year with family to ensure child is making appropriate progress.</w:t>
      </w:r>
    </w:p>
    <w:p w14:paraId="664ED23D" w14:textId="77777777" w:rsidR="00A440B4" w:rsidRDefault="00A440B4" w:rsidP="00A440B4"/>
    <w:p w14:paraId="78E44A05" w14:textId="77777777" w:rsidR="00A440B4" w:rsidRDefault="00A440B4" w:rsidP="00A440B4"/>
    <w:p w14:paraId="68F8962E" w14:textId="77777777" w:rsidR="00A440B4" w:rsidRPr="00A440B4" w:rsidRDefault="00A440B4" w:rsidP="00A440B4">
      <w:pPr>
        <w:rPr>
          <w:b/>
        </w:rPr>
      </w:pPr>
      <w:r w:rsidRPr="00A440B4">
        <w:rPr>
          <w:b/>
        </w:rPr>
        <w:t>NEXT STEPS</w:t>
      </w:r>
    </w:p>
    <w:p w14:paraId="23A64000" w14:textId="77777777" w:rsidR="00A440B4" w:rsidRDefault="00A440B4" w:rsidP="00A440B4"/>
    <w:p w14:paraId="3BF1F8F2" w14:textId="77777777" w:rsidR="00A440B4" w:rsidRDefault="00A440B4" w:rsidP="00BE5B96">
      <w:pPr>
        <w:pStyle w:val="ListParagraph"/>
        <w:numPr>
          <w:ilvl w:val="0"/>
          <w:numId w:val="6"/>
        </w:numPr>
        <w:ind w:left="993" w:hanging="709"/>
      </w:pPr>
      <w:r>
        <w:t>Where the review indicates that the child needs additional resources not available from within the setting, to support progress, then specialist services, such as therapy or education services may become involved or be requested.</w:t>
      </w:r>
    </w:p>
    <w:p w14:paraId="4CE8378D" w14:textId="77777777" w:rsidR="00A440B4" w:rsidRDefault="00A440B4" w:rsidP="00BE5B96">
      <w:pPr>
        <w:pStyle w:val="ListParagraph"/>
        <w:numPr>
          <w:ilvl w:val="0"/>
          <w:numId w:val="6"/>
        </w:numPr>
        <w:ind w:left="993" w:hanging="709"/>
      </w:pPr>
      <w:r>
        <w:t>For some children additional funding may also be available from the Local Authority:</w:t>
      </w:r>
    </w:p>
    <w:p w14:paraId="03A7FBAF" w14:textId="77777777" w:rsidR="00A440B4" w:rsidRDefault="00BE5B96" w:rsidP="00BE5B96">
      <w:pPr>
        <w:pStyle w:val="ListParagraph"/>
        <w:ind w:left="993" w:hanging="709"/>
      </w:pPr>
      <w:r>
        <w:tab/>
      </w:r>
      <w:r w:rsidR="00A440B4" w:rsidRPr="00BE5B96">
        <w:rPr>
          <w:b/>
        </w:rPr>
        <w:t>Inclusion Funding</w:t>
      </w:r>
      <w:r w:rsidR="00A440B4">
        <w:t xml:space="preserve"> – to support children with low level SEN and emerging needs</w:t>
      </w:r>
    </w:p>
    <w:p w14:paraId="5E6F2BC9" w14:textId="77777777" w:rsidR="00BE5B96" w:rsidRDefault="00BE5B96" w:rsidP="00BE5B96">
      <w:pPr>
        <w:pStyle w:val="ListParagraph"/>
        <w:numPr>
          <w:ilvl w:val="0"/>
          <w:numId w:val="6"/>
        </w:numPr>
        <w:tabs>
          <w:tab w:val="left" w:pos="993"/>
        </w:tabs>
      </w:pPr>
      <w:r>
        <w:tab/>
        <w:t xml:space="preserve">Continue supporting the child using SEN Support and Outcomes Plan to include </w:t>
      </w:r>
      <w:r>
        <w:tab/>
        <w:t>monitoring of progress and strategies/interventions/provision.</w:t>
      </w:r>
    </w:p>
    <w:p w14:paraId="69EF953C" w14:textId="77777777" w:rsidR="004A4655" w:rsidRDefault="00BE5B96" w:rsidP="00BE5B96">
      <w:pPr>
        <w:pStyle w:val="ListParagraph"/>
        <w:numPr>
          <w:ilvl w:val="0"/>
          <w:numId w:val="6"/>
        </w:numPr>
        <w:tabs>
          <w:tab w:val="left" w:pos="993"/>
        </w:tabs>
        <w:ind w:hanging="436"/>
      </w:pPr>
      <w:r>
        <w:tab/>
        <w:t>Review at least 3 times a year with family to ensure child is making appropriate progress.</w:t>
      </w:r>
    </w:p>
    <w:p w14:paraId="273D091F" w14:textId="77777777" w:rsidR="00BE5B96" w:rsidRDefault="00BE5B96" w:rsidP="004A4655">
      <w:pPr>
        <w:pStyle w:val="ListParagraph"/>
      </w:pPr>
    </w:p>
    <w:p w14:paraId="6B93BA6F" w14:textId="77777777" w:rsidR="00BE5B96" w:rsidRDefault="00BE5B96" w:rsidP="00BE5B96">
      <w:pPr>
        <w:rPr>
          <w:b/>
        </w:rPr>
      </w:pPr>
    </w:p>
    <w:p w14:paraId="1D641BCD" w14:textId="77777777" w:rsidR="00BE5B96" w:rsidRPr="00BE5B96" w:rsidRDefault="00BE5B96" w:rsidP="00BE5B96">
      <w:pPr>
        <w:rPr>
          <w:b/>
        </w:rPr>
      </w:pPr>
      <w:r w:rsidRPr="00BE5B96">
        <w:rPr>
          <w:b/>
        </w:rPr>
        <w:t xml:space="preserve">RESOURCES ABOVE INCLUSION FUND SUPPORT </w:t>
      </w:r>
    </w:p>
    <w:p w14:paraId="248B5B78" w14:textId="77777777" w:rsidR="00BE5B96" w:rsidRDefault="00BE5B96" w:rsidP="00BE5B96"/>
    <w:p w14:paraId="1140D5D3" w14:textId="77777777" w:rsidR="00BE5B96" w:rsidRDefault="00BE5B96" w:rsidP="00BE5B96">
      <w:pPr>
        <w:pStyle w:val="ListParagraph"/>
        <w:numPr>
          <w:ilvl w:val="0"/>
          <w:numId w:val="6"/>
        </w:numPr>
        <w:tabs>
          <w:tab w:val="left" w:pos="993"/>
        </w:tabs>
      </w:pPr>
      <w:r>
        <w:tab/>
        <w:t xml:space="preserve">Reviews show that the level of the child’s continued needs/rate of progress indicates a </w:t>
      </w:r>
      <w:r>
        <w:tab/>
        <w:t xml:space="preserve">need for greater differentiation of activities and individualised planning to provide an </w:t>
      </w:r>
      <w:r>
        <w:tab/>
        <w:t>enabling environment.</w:t>
      </w:r>
    </w:p>
    <w:p w14:paraId="7F57C136" w14:textId="77777777" w:rsidR="00BE5B96" w:rsidRDefault="00BE5B96" w:rsidP="00BE5B96">
      <w:pPr>
        <w:pStyle w:val="ListParagraph"/>
        <w:numPr>
          <w:ilvl w:val="0"/>
          <w:numId w:val="6"/>
        </w:numPr>
        <w:tabs>
          <w:tab w:val="left" w:pos="993"/>
        </w:tabs>
      </w:pPr>
      <w:r>
        <w:tab/>
      </w:r>
      <w:r w:rsidRPr="006134A7">
        <w:rPr>
          <w:b/>
        </w:rPr>
        <w:t>Additional Funding</w:t>
      </w:r>
      <w:r>
        <w:t xml:space="preserve"> may also be available from the Local Authority to support children </w:t>
      </w:r>
      <w:r>
        <w:tab/>
        <w:t>with higher level or complex SEN/Disability.</w:t>
      </w:r>
    </w:p>
    <w:p w14:paraId="649C3258" w14:textId="77777777" w:rsidR="00BE5B96" w:rsidRDefault="00BE5B96" w:rsidP="00BE5B96">
      <w:pPr>
        <w:pStyle w:val="ListParagraph"/>
        <w:numPr>
          <w:ilvl w:val="0"/>
          <w:numId w:val="6"/>
        </w:numPr>
        <w:tabs>
          <w:tab w:val="left" w:pos="993"/>
        </w:tabs>
      </w:pPr>
      <w:r>
        <w:tab/>
        <w:t xml:space="preserve">Continue supporting the child using SEN Support and Outcomes Plan to include </w:t>
      </w:r>
      <w:r>
        <w:tab/>
        <w:t>monitoring of progress and strategies/interventions/provision.</w:t>
      </w:r>
    </w:p>
    <w:p w14:paraId="57445261" w14:textId="77777777" w:rsidR="00BE5B96" w:rsidRDefault="00BE5B96" w:rsidP="00BE5B96">
      <w:pPr>
        <w:pStyle w:val="ListParagraph"/>
        <w:numPr>
          <w:ilvl w:val="0"/>
          <w:numId w:val="6"/>
        </w:numPr>
        <w:tabs>
          <w:tab w:val="left" w:pos="993"/>
        </w:tabs>
      </w:pPr>
      <w:r>
        <w:tab/>
        <w:t>Review at least 3 times a year with family</w:t>
      </w:r>
      <w:r w:rsidR="006134A7">
        <w:t xml:space="preserve">, where appropriate adjust the level of support </w:t>
      </w:r>
      <w:r w:rsidR="006134A7">
        <w:tab/>
        <w:t>to ensure continued progress.</w:t>
      </w:r>
    </w:p>
    <w:p w14:paraId="7319291A" w14:textId="77777777" w:rsidR="0017083F" w:rsidRPr="0017083F" w:rsidRDefault="0017083F" w:rsidP="0017083F">
      <w:pPr>
        <w:pStyle w:val="ListParagraph"/>
        <w:tabs>
          <w:tab w:val="left" w:pos="993"/>
        </w:tabs>
        <w:rPr>
          <w:highlight w:val="yellow"/>
        </w:rPr>
      </w:pPr>
    </w:p>
    <w:p w14:paraId="274AD0CB" w14:textId="77777777" w:rsidR="00BE5B96" w:rsidRDefault="006134A7" w:rsidP="00BE5B96">
      <w:pPr>
        <w:tabs>
          <w:tab w:val="left" w:pos="993"/>
        </w:tabs>
        <w:rPr>
          <w:b/>
        </w:rPr>
      </w:pPr>
      <w:r w:rsidRPr="006134A7">
        <w:rPr>
          <w:b/>
        </w:rPr>
        <w:t>ALSO AVAILABLE</w:t>
      </w:r>
    </w:p>
    <w:p w14:paraId="7C38C972" w14:textId="77777777" w:rsidR="0017083F" w:rsidRDefault="0017083F" w:rsidP="00BE5B96">
      <w:pPr>
        <w:tabs>
          <w:tab w:val="left" w:pos="993"/>
        </w:tabs>
        <w:rPr>
          <w:b/>
        </w:rPr>
      </w:pPr>
    </w:p>
    <w:p w14:paraId="267DD6AF" w14:textId="1AFEF022" w:rsidR="0017083F" w:rsidRPr="007E549A" w:rsidRDefault="0017083F" w:rsidP="00BE5B96">
      <w:pPr>
        <w:pStyle w:val="ListParagraph"/>
        <w:numPr>
          <w:ilvl w:val="0"/>
          <w:numId w:val="6"/>
        </w:numPr>
        <w:tabs>
          <w:tab w:val="left" w:pos="993"/>
        </w:tabs>
        <w:rPr>
          <w:b/>
        </w:rPr>
      </w:pPr>
      <w:r w:rsidRPr="007E549A">
        <w:rPr>
          <w:b/>
        </w:rPr>
        <w:t xml:space="preserve">Disability Access Fund </w:t>
      </w:r>
      <w:proofErr w:type="gramStart"/>
      <w:r w:rsidRPr="007E549A">
        <w:rPr>
          <w:b/>
        </w:rPr>
        <w:t xml:space="preserve">-  </w:t>
      </w:r>
      <w:r>
        <w:t>Annual</w:t>
      </w:r>
      <w:proofErr w:type="gramEnd"/>
      <w:r>
        <w:t xml:space="preserve"> one-off payment for children with Disability Living Assessment receiving their 15 hour Early Education Entitlement but not in a reception class.  </w:t>
      </w:r>
      <w:r w:rsidRPr="0017083F">
        <w:t>For information re eligibility and criteria, see the</w:t>
      </w:r>
      <w:r w:rsidR="007E549A">
        <w:t xml:space="preserve">  </w:t>
      </w:r>
      <w:hyperlink r:id="rId9" w:history="1">
        <w:r w:rsidR="007E549A" w:rsidRPr="007E549A">
          <w:rPr>
            <w:rStyle w:val="Hyperlink"/>
          </w:rPr>
          <w:t>'Guidance and Procedures'</w:t>
        </w:r>
      </w:hyperlink>
      <w:r w:rsidRPr="0017083F">
        <w:t xml:space="preserve"> ‘page on OCC </w:t>
      </w:r>
      <w:r w:rsidR="007E549A">
        <w:t>website</w:t>
      </w:r>
      <w:r w:rsidRPr="0017083F">
        <w:t xml:space="preserve">. </w:t>
      </w:r>
    </w:p>
    <w:sectPr w:rsidR="0017083F" w:rsidRPr="007E549A" w:rsidSect="006B15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A02"/>
    <w:multiLevelType w:val="hybridMultilevel"/>
    <w:tmpl w:val="DEE82C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3E80523"/>
    <w:multiLevelType w:val="hybridMultilevel"/>
    <w:tmpl w:val="8990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9359C"/>
    <w:multiLevelType w:val="hybridMultilevel"/>
    <w:tmpl w:val="CB1458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D0543F1"/>
    <w:multiLevelType w:val="hybridMultilevel"/>
    <w:tmpl w:val="767E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A23E1"/>
    <w:multiLevelType w:val="hybridMultilevel"/>
    <w:tmpl w:val="50ECF09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8F051C3"/>
    <w:multiLevelType w:val="hybridMultilevel"/>
    <w:tmpl w:val="F56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A4688"/>
    <w:multiLevelType w:val="hybridMultilevel"/>
    <w:tmpl w:val="0D26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739351">
    <w:abstractNumId w:val="4"/>
  </w:num>
  <w:num w:numId="2" w16cid:durableId="458692688">
    <w:abstractNumId w:val="0"/>
  </w:num>
  <w:num w:numId="3" w16cid:durableId="2089037503">
    <w:abstractNumId w:val="1"/>
  </w:num>
  <w:num w:numId="4" w16cid:durableId="2082949641">
    <w:abstractNumId w:val="3"/>
  </w:num>
  <w:num w:numId="5" w16cid:durableId="1969428964">
    <w:abstractNumId w:val="2"/>
  </w:num>
  <w:num w:numId="6" w16cid:durableId="855732573">
    <w:abstractNumId w:val="5"/>
  </w:num>
  <w:num w:numId="7" w16cid:durableId="622156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02"/>
    <w:rsid w:val="000629FE"/>
    <w:rsid w:val="000B4310"/>
    <w:rsid w:val="001318FC"/>
    <w:rsid w:val="00141715"/>
    <w:rsid w:val="0017083F"/>
    <w:rsid w:val="002B5D78"/>
    <w:rsid w:val="002E1DA8"/>
    <w:rsid w:val="00312418"/>
    <w:rsid w:val="004000D7"/>
    <w:rsid w:val="0043534B"/>
    <w:rsid w:val="004A4655"/>
    <w:rsid w:val="00504E43"/>
    <w:rsid w:val="005113C9"/>
    <w:rsid w:val="005B7C60"/>
    <w:rsid w:val="006134A7"/>
    <w:rsid w:val="006B150A"/>
    <w:rsid w:val="00722F02"/>
    <w:rsid w:val="007908F4"/>
    <w:rsid w:val="007E549A"/>
    <w:rsid w:val="0082416A"/>
    <w:rsid w:val="009B4116"/>
    <w:rsid w:val="009C47C0"/>
    <w:rsid w:val="009D4F4A"/>
    <w:rsid w:val="009D7964"/>
    <w:rsid w:val="00A440B4"/>
    <w:rsid w:val="00A72F8C"/>
    <w:rsid w:val="00A85497"/>
    <w:rsid w:val="00AA5666"/>
    <w:rsid w:val="00BE5B96"/>
    <w:rsid w:val="00C47A83"/>
    <w:rsid w:val="00CE0075"/>
    <w:rsid w:val="00D841D0"/>
    <w:rsid w:val="00EA140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8F2A"/>
  <w15:docId w15:val="{8CC20A78-89A7-40A5-ADBA-89C8EB5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F02"/>
    <w:rPr>
      <w:rFonts w:ascii="Tahoma" w:hAnsi="Tahoma" w:cs="Tahoma"/>
      <w:sz w:val="16"/>
      <w:szCs w:val="16"/>
    </w:rPr>
  </w:style>
  <w:style w:type="character" w:customStyle="1" w:styleId="BalloonTextChar">
    <w:name w:val="Balloon Text Char"/>
    <w:basedOn w:val="DefaultParagraphFont"/>
    <w:link w:val="BalloonText"/>
    <w:uiPriority w:val="99"/>
    <w:semiHidden/>
    <w:rsid w:val="00722F02"/>
    <w:rPr>
      <w:rFonts w:ascii="Tahoma" w:hAnsi="Tahoma" w:cs="Tahoma"/>
      <w:sz w:val="16"/>
      <w:szCs w:val="16"/>
    </w:rPr>
  </w:style>
  <w:style w:type="paragraph" w:styleId="ListParagraph">
    <w:name w:val="List Paragraph"/>
    <w:basedOn w:val="Normal"/>
    <w:uiPriority w:val="34"/>
    <w:qFormat/>
    <w:rsid w:val="00722F02"/>
    <w:pPr>
      <w:ind w:left="720"/>
      <w:contextualSpacing/>
    </w:pPr>
  </w:style>
  <w:style w:type="table" w:styleId="TableGrid">
    <w:name w:val="Table Grid"/>
    <w:basedOn w:val="TableNormal"/>
    <w:uiPriority w:val="59"/>
    <w:rsid w:val="0072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83F"/>
    <w:rPr>
      <w:color w:val="0000FF" w:themeColor="hyperlink"/>
      <w:u w:val="single"/>
    </w:rPr>
  </w:style>
  <w:style w:type="character" w:styleId="UnresolvedMention">
    <w:name w:val="Unresolved Mention"/>
    <w:basedOn w:val="DefaultParagraphFont"/>
    <w:uiPriority w:val="99"/>
    <w:semiHidden/>
    <w:unhideWhenUsed/>
    <w:rsid w:val="0017083F"/>
    <w:rPr>
      <w:color w:val="808080"/>
      <w:shd w:val="clear" w:color="auto" w:fill="E6E6E6"/>
    </w:rPr>
  </w:style>
  <w:style w:type="character" w:styleId="FollowedHyperlink">
    <w:name w:val="FollowedHyperlink"/>
    <w:basedOn w:val="DefaultParagraphFont"/>
    <w:uiPriority w:val="99"/>
    <w:semiHidden/>
    <w:unhideWhenUsed/>
    <w:rsid w:val="009D7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business/information-providers/childrens-services-providers/sen-support-providers/guidance-and-procedures" TargetMode="External"/><Relationship Id="rId3" Type="http://schemas.openxmlformats.org/officeDocument/2006/relationships/settings" Target="settings.xml"/><Relationship Id="rId7" Type="http://schemas.openxmlformats.org/officeDocument/2006/relationships/hyperlink" Target="https://www.oxfordshire.gov.uk/business/information-providers/childrens-services-providers/sen-support-providers/guidance-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cb.org.uk/early-help-forms-tool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shire.gov.uk/business/information-providers/childrens-services-providers/sen-support-providers/guidance-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Pick</dc:creator>
  <cp:lastModifiedBy>White, Suzanne - Oxfordshire County Council</cp:lastModifiedBy>
  <cp:revision>2</cp:revision>
  <dcterms:created xsi:type="dcterms:W3CDTF">2024-09-17T13:43:00Z</dcterms:created>
  <dcterms:modified xsi:type="dcterms:W3CDTF">2024-09-17T13:43:00Z</dcterms:modified>
</cp:coreProperties>
</file>