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E1C1" w14:textId="77777777" w:rsidR="002042D3" w:rsidRPr="00C4462E" w:rsidRDefault="002042D3" w:rsidP="00500FD4">
      <w:pPr>
        <w:ind w:left="2160"/>
        <w:jc w:val="right"/>
        <w:rPr>
          <w:sz w:val="22"/>
          <w:szCs w:val="22"/>
        </w:rPr>
      </w:pPr>
    </w:p>
    <w:p w14:paraId="49D4850D" w14:textId="3E1A4A69" w:rsidR="002042D3" w:rsidRPr="00C4462E" w:rsidRDefault="002042D3" w:rsidP="002042D3">
      <w:pPr>
        <w:jc w:val="both"/>
      </w:pPr>
      <w:r w:rsidRPr="00C4462E">
        <w:rPr>
          <w:noProof/>
          <w:shd w:val="clear" w:color="auto" w:fill="E6E6E6"/>
        </w:rPr>
        <mc:AlternateContent>
          <mc:Choice Requires="wps">
            <w:drawing>
              <wp:anchor distT="0" distB="0" distL="114300" distR="114300" simplePos="0" relativeHeight="251658240" behindDoc="0" locked="1" layoutInCell="1" allowOverlap="1" wp14:anchorId="7E8D0F97" wp14:editId="11A58579">
                <wp:simplePos x="0" y="0"/>
                <wp:positionH relativeFrom="column">
                  <wp:posOffset>3848100</wp:posOffset>
                </wp:positionH>
                <wp:positionV relativeFrom="paragraph">
                  <wp:posOffset>-808990</wp:posOffset>
                </wp:positionV>
                <wp:extent cx="2305050" cy="3105150"/>
                <wp:effectExtent l="0" t="0" r="0" b="0"/>
                <wp:wrapNone/>
                <wp:docPr id="307" name="Text Box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105150"/>
                        </a:xfrm>
                        <a:prstGeom prst="rect">
                          <a:avLst/>
                        </a:prstGeom>
                        <a:noFill/>
                        <a:ln w="9525">
                          <a:noFill/>
                          <a:miter lim="800000"/>
                          <a:headEnd/>
                          <a:tailEnd/>
                        </a:ln>
                      </wps:spPr>
                      <wps:txbx>
                        <w:txbxContent>
                          <w:p w14:paraId="15C93185" w14:textId="77777777" w:rsidR="00500FD4" w:rsidRDefault="00500FD4" w:rsidP="002042D3">
                            <w:pPr>
                              <w:rPr>
                                <w:b/>
                                <w:kern w:val="36"/>
                              </w:rPr>
                            </w:pPr>
                          </w:p>
                          <w:p w14:paraId="02B3E08A" w14:textId="1C83C79C" w:rsidR="00500FD4" w:rsidRDefault="00500FD4" w:rsidP="002042D3">
                            <w:pPr>
                              <w:rPr>
                                <w:b/>
                                <w:kern w:val="36"/>
                              </w:rPr>
                            </w:pPr>
                            <w:r w:rsidRPr="00500FD4">
                              <w:rPr>
                                <w:noProof/>
                              </w:rPr>
                              <w:drawing>
                                <wp:inline distT="0" distB="0" distL="0" distR="0" wp14:anchorId="068D7016" wp14:editId="15FE38F1">
                                  <wp:extent cx="2296160" cy="53510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2296160" cy="535107"/>
                                          </a:xfrm>
                                          <a:prstGeom prst="rect">
                                            <a:avLst/>
                                          </a:prstGeom>
                                        </pic:spPr>
                                      </pic:pic>
                                    </a:graphicData>
                                  </a:graphic>
                                </wp:inline>
                              </w:drawing>
                            </w:r>
                          </w:p>
                          <w:p w14:paraId="7805BB2B" w14:textId="77777777" w:rsidR="00500FD4" w:rsidRDefault="00500FD4" w:rsidP="002042D3">
                            <w:pPr>
                              <w:rPr>
                                <w:b/>
                                <w:kern w:val="36"/>
                              </w:rPr>
                            </w:pPr>
                          </w:p>
                          <w:p w14:paraId="4F973B93" w14:textId="77777777" w:rsidR="00500FD4" w:rsidRDefault="00500FD4" w:rsidP="002042D3">
                            <w:pPr>
                              <w:rPr>
                                <w:b/>
                                <w:kern w:val="36"/>
                              </w:rPr>
                            </w:pPr>
                          </w:p>
                          <w:p w14:paraId="240E3CD2" w14:textId="77777777" w:rsidR="002042D3" w:rsidRDefault="002042D3" w:rsidP="002042D3">
                            <w:pPr>
                              <w:rPr>
                                <w:b/>
                                <w:kern w:val="36"/>
                              </w:rPr>
                            </w:pPr>
                            <w:r>
                              <w:rPr>
                                <w:b/>
                                <w:kern w:val="36"/>
                              </w:rPr>
                              <w:t>County Hall</w:t>
                            </w:r>
                          </w:p>
                          <w:p w14:paraId="5140198F" w14:textId="77777777" w:rsidR="002042D3" w:rsidRDefault="002042D3" w:rsidP="002042D3">
                            <w:pPr>
                              <w:rPr>
                                <w:b/>
                                <w:kern w:val="36"/>
                              </w:rPr>
                            </w:pPr>
                            <w:r>
                              <w:rPr>
                                <w:b/>
                                <w:kern w:val="36"/>
                              </w:rPr>
                              <w:t>New Road</w:t>
                            </w:r>
                          </w:p>
                          <w:p w14:paraId="2321518D" w14:textId="77777777" w:rsidR="002042D3" w:rsidRDefault="002042D3" w:rsidP="002042D3">
                            <w:pPr>
                              <w:rPr>
                                <w:b/>
                                <w:kern w:val="36"/>
                              </w:rPr>
                            </w:pPr>
                            <w:r>
                              <w:rPr>
                                <w:b/>
                                <w:kern w:val="36"/>
                              </w:rPr>
                              <w:t>Oxford</w:t>
                            </w:r>
                          </w:p>
                          <w:p w14:paraId="50425674" w14:textId="77777777" w:rsidR="002042D3" w:rsidRDefault="002042D3" w:rsidP="002042D3">
                            <w:pPr>
                              <w:rPr>
                                <w:b/>
                                <w:kern w:val="36"/>
                              </w:rPr>
                            </w:pPr>
                            <w:r>
                              <w:rPr>
                                <w:b/>
                                <w:kern w:val="36"/>
                              </w:rPr>
                              <w:t>OX1 1ND</w:t>
                            </w:r>
                          </w:p>
                          <w:p w14:paraId="1BFB7DE1" w14:textId="77777777" w:rsidR="002042D3" w:rsidRDefault="002042D3" w:rsidP="002042D3">
                            <w:pPr>
                              <w:rPr>
                                <w:b/>
                              </w:rPr>
                            </w:pPr>
                          </w:p>
                          <w:p w14:paraId="1A18DD22" w14:textId="77777777" w:rsidR="002042D3" w:rsidRDefault="002042D3" w:rsidP="002042D3">
                            <w:pPr>
                              <w:rPr>
                                <w:color w:val="000000" w:themeColor="text1"/>
                              </w:rPr>
                            </w:pPr>
                          </w:p>
                          <w:p w14:paraId="46E82443" w14:textId="77777777" w:rsidR="002042D3" w:rsidRDefault="002042D3" w:rsidP="002042D3">
                            <w:pPr>
                              <w:rPr>
                                <w:b/>
                                <w:color w:val="000000" w:themeColor="text1"/>
                              </w:rPr>
                            </w:pPr>
                            <w:r>
                              <w:rPr>
                                <w:b/>
                                <w:color w:val="000000" w:themeColor="text1"/>
                              </w:rPr>
                              <w:t>Corporate Director: Bill Cotton</w:t>
                            </w:r>
                          </w:p>
                          <w:p w14:paraId="52C4000C" w14:textId="77777777" w:rsidR="002042D3" w:rsidRDefault="002042D3" w:rsidP="002042D3">
                            <w:pPr>
                              <w:rPr>
                                <w:color w:val="000000" w:themeColor="text1"/>
                              </w:rPr>
                            </w:pPr>
                            <w:r>
                              <w:rPr>
                                <w:b/>
                                <w:kern w:val="36"/>
                              </w:rPr>
                              <w:t>Environment and Place</w:t>
                            </w:r>
                          </w:p>
                          <w:p w14:paraId="4442A0CE" w14:textId="77777777" w:rsidR="002042D3" w:rsidRDefault="002042D3" w:rsidP="002042D3">
                            <w:pPr>
                              <w:rPr>
                                <w:color w:val="000000" w:themeColor="text1"/>
                              </w:rPr>
                            </w:pPr>
                          </w:p>
                          <w:p w14:paraId="4B1FCD83" w14:textId="428D3867" w:rsidR="002042D3" w:rsidRDefault="00933B11" w:rsidP="002042D3">
                            <w:pPr>
                              <w:rPr>
                                <w:b/>
                              </w:rPr>
                            </w:pPr>
                            <w:r>
                              <w:rPr>
                                <w:b/>
                                <w:color w:val="000000" w:themeColor="text1"/>
                              </w:rPr>
                              <w:t>27</w:t>
                            </w:r>
                            <w:r w:rsidR="00420772" w:rsidRPr="00420772">
                              <w:rPr>
                                <w:b/>
                                <w:color w:val="000000" w:themeColor="text1"/>
                                <w:vertAlign w:val="superscript"/>
                              </w:rPr>
                              <w:t>th</w:t>
                            </w:r>
                            <w:r w:rsidR="00420772">
                              <w:rPr>
                                <w:b/>
                                <w:color w:val="000000" w:themeColor="text1"/>
                              </w:rPr>
                              <w:t xml:space="preserve"> </w:t>
                            </w:r>
                            <w:r w:rsidR="005767D9">
                              <w:rPr>
                                <w:b/>
                                <w:color w:val="000000" w:themeColor="text1"/>
                              </w:rPr>
                              <w:t>March</w:t>
                            </w:r>
                            <w:r w:rsidR="002042D3">
                              <w:rPr>
                                <w:b/>
                                <w:color w:val="000000" w:themeColor="text1"/>
                              </w:rPr>
                              <w:t xml:space="preserve"> 2022</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D0F97" id="_x0000_t202" coordsize="21600,21600" o:spt="202" path="m,l,21600r21600,l21600,xe">
                <v:stroke joinstyle="miter"/>
                <v:path gradientshapeok="t" o:connecttype="rect"/>
              </v:shapetype>
              <v:shape id="Text Box 307" o:spid="_x0000_s1026" type="#_x0000_t202" alt="&quot;&quot;" style="position:absolute;left:0;text-align:left;margin-left:303pt;margin-top:-63.7pt;width:181.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" filled="f" stroked="f">
                <v:textbox inset="0,0,0,0">
                  <w:txbxContent>
                    <w:p w14:paraId="15C93185" w14:textId="77777777" w:rsidR="00500FD4" w:rsidRDefault="00500FD4" w:rsidP="002042D3">
                      <w:pPr>
                        <w:rPr>
                          <w:b/>
                          <w:kern w:val="36"/>
                        </w:rPr>
                      </w:pPr>
                    </w:p>
                    <w:p w14:paraId="02B3E08A" w14:textId="1C83C79C" w:rsidR="00500FD4" w:rsidRDefault="00500FD4" w:rsidP="002042D3">
                      <w:pPr>
                        <w:rPr>
                          <w:b/>
                          <w:kern w:val="36"/>
                        </w:rPr>
                      </w:pPr>
                      <w:r w:rsidRPr="00500FD4">
                        <w:rPr>
                          <w:noProof/>
                        </w:rPr>
                        <w:drawing>
                          <wp:inline distT="0" distB="0" distL="0" distR="0" wp14:anchorId="068D7016" wp14:editId="15FE38F1">
                            <wp:extent cx="2296160" cy="53510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2296160" cy="535107"/>
                                    </a:xfrm>
                                    <a:prstGeom prst="rect">
                                      <a:avLst/>
                                    </a:prstGeom>
                                  </pic:spPr>
                                </pic:pic>
                              </a:graphicData>
                            </a:graphic>
                          </wp:inline>
                        </w:drawing>
                      </w:r>
                    </w:p>
                    <w:p w14:paraId="7805BB2B" w14:textId="77777777" w:rsidR="00500FD4" w:rsidRDefault="00500FD4" w:rsidP="002042D3">
                      <w:pPr>
                        <w:rPr>
                          <w:b/>
                          <w:kern w:val="36"/>
                        </w:rPr>
                      </w:pPr>
                    </w:p>
                    <w:p w14:paraId="4F973B93" w14:textId="77777777" w:rsidR="00500FD4" w:rsidRDefault="00500FD4" w:rsidP="002042D3">
                      <w:pPr>
                        <w:rPr>
                          <w:b/>
                          <w:kern w:val="36"/>
                        </w:rPr>
                      </w:pPr>
                    </w:p>
                    <w:p w14:paraId="240E3CD2" w14:textId="77777777" w:rsidR="002042D3" w:rsidRDefault="002042D3" w:rsidP="002042D3">
                      <w:pPr>
                        <w:rPr>
                          <w:b/>
                          <w:kern w:val="36"/>
                        </w:rPr>
                      </w:pPr>
                      <w:r>
                        <w:rPr>
                          <w:b/>
                          <w:kern w:val="36"/>
                        </w:rPr>
                        <w:t>County Hall</w:t>
                      </w:r>
                    </w:p>
                    <w:p w14:paraId="5140198F" w14:textId="77777777" w:rsidR="002042D3" w:rsidRDefault="002042D3" w:rsidP="002042D3">
                      <w:pPr>
                        <w:rPr>
                          <w:b/>
                          <w:kern w:val="36"/>
                        </w:rPr>
                      </w:pPr>
                      <w:r>
                        <w:rPr>
                          <w:b/>
                          <w:kern w:val="36"/>
                        </w:rPr>
                        <w:t>New Road</w:t>
                      </w:r>
                    </w:p>
                    <w:p w14:paraId="2321518D" w14:textId="77777777" w:rsidR="002042D3" w:rsidRDefault="002042D3" w:rsidP="002042D3">
                      <w:pPr>
                        <w:rPr>
                          <w:b/>
                          <w:kern w:val="36"/>
                        </w:rPr>
                      </w:pPr>
                      <w:r>
                        <w:rPr>
                          <w:b/>
                          <w:kern w:val="36"/>
                        </w:rPr>
                        <w:t>Oxford</w:t>
                      </w:r>
                    </w:p>
                    <w:p w14:paraId="50425674" w14:textId="77777777" w:rsidR="002042D3" w:rsidRDefault="002042D3" w:rsidP="002042D3">
                      <w:pPr>
                        <w:rPr>
                          <w:b/>
                          <w:kern w:val="36"/>
                        </w:rPr>
                      </w:pPr>
                      <w:r>
                        <w:rPr>
                          <w:b/>
                          <w:kern w:val="36"/>
                        </w:rPr>
                        <w:t>OX1 1ND</w:t>
                      </w:r>
                    </w:p>
                    <w:p w14:paraId="1BFB7DE1" w14:textId="77777777" w:rsidR="002042D3" w:rsidRDefault="002042D3" w:rsidP="002042D3">
                      <w:pPr>
                        <w:rPr>
                          <w:b/>
                        </w:rPr>
                      </w:pPr>
                    </w:p>
                    <w:p w14:paraId="1A18DD22" w14:textId="77777777" w:rsidR="002042D3" w:rsidRDefault="002042D3" w:rsidP="002042D3">
                      <w:pPr>
                        <w:rPr>
                          <w:color w:val="000000" w:themeColor="text1"/>
                        </w:rPr>
                      </w:pPr>
                    </w:p>
                    <w:p w14:paraId="46E82443" w14:textId="77777777" w:rsidR="002042D3" w:rsidRDefault="002042D3" w:rsidP="002042D3">
                      <w:pPr>
                        <w:rPr>
                          <w:b/>
                          <w:color w:val="000000" w:themeColor="text1"/>
                        </w:rPr>
                      </w:pPr>
                      <w:r>
                        <w:rPr>
                          <w:b/>
                          <w:color w:val="000000" w:themeColor="text1"/>
                        </w:rPr>
                        <w:t>Corporate Director: Bill Cotton</w:t>
                      </w:r>
                    </w:p>
                    <w:p w14:paraId="52C4000C" w14:textId="77777777" w:rsidR="002042D3" w:rsidRDefault="002042D3" w:rsidP="002042D3">
                      <w:pPr>
                        <w:rPr>
                          <w:color w:val="000000" w:themeColor="text1"/>
                        </w:rPr>
                      </w:pPr>
                      <w:r>
                        <w:rPr>
                          <w:b/>
                          <w:kern w:val="36"/>
                        </w:rPr>
                        <w:t>Environment and Place</w:t>
                      </w:r>
                    </w:p>
                    <w:p w14:paraId="4442A0CE" w14:textId="77777777" w:rsidR="002042D3" w:rsidRDefault="002042D3" w:rsidP="002042D3">
                      <w:pPr>
                        <w:rPr>
                          <w:color w:val="000000" w:themeColor="text1"/>
                        </w:rPr>
                      </w:pPr>
                    </w:p>
                    <w:p w14:paraId="4B1FCD83" w14:textId="428D3867" w:rsidR="002042D3" w:rsidRDefault="00933B11" w:rsidP="002042D3">
                      <w:pPr>
                        <w:rPr>
                          <w:b/>
                        </w:rPr>
                      </w:pPr>
                      <w:r>
                        <w:rPr>
                          <w:b/>
                          <w:color w:val="000000" w:themeColor="text1"/>
                        </w:rPr>
                        <w:t>27</w:t>
                      </w:r>
                      <w:r w:rsidR="00420772" w:rsidRPr="00420772">
                        <w:rPr>
                          <w:b/>
                          <w:color w:val="000000" w:themeColor="text1"/>
                          <w:vertAlign w:val="superscript"/>
                        </w:rPr>
                        <w:t>th</w:t>
                      </w:r>
                      <w:r w:rsidR="00420772">
                        <w:rPr>
                          <w:b/>
                          <w:color w:val="000000" w:themeColor="text1"/>
                        </w:rPr>
                        <w:t xml:space="preserve"> </w:t>
                      </w:r>
                      <w:r w:rsidR="005767D9">
                        <w:rPr>
                          <w:b/>
                          <w:color w:val="000000" w:themeColor="text1"/>
                        </w:rPr>
                        <w:t>March</w:t>
                      </w:r>
                      <w:r w:rsidR="002042D3">
                        <w:rPr>
                          <w:b/>
                          <w:color w:val="000000" w:themeColor="text1"/>
                        </w:rPr>
                        <w:t xml:space="preserve"> 2022</w:t>
                      </w:r>
                    </w:p>
                  </w:txbxContent>
                </v:textbox>
                <w10:anchorlock/>
              </v:shape>
            </w:pict>
          </mc:Fallback>
        </mc:AlternateContent>
      </w:r>
    </w:p>
    <w:p w14:paraId="790118B0" w14:textId="77777777" w:rsidR="002042D3" w:rsidRPr="00C4462E" w:rsidRDefault="002042D3" w:rsidP="002042D3"/>
    <w:p w14:paraId="3A1D1764" w14:textId="22A72699" w:rsidR="002042D3" w:rsidRPr="00C4462E" w:rsidRDefault="002042D3" w:rsidP="002042D3">
      <w:pPr>
        <w:tabs>
          <w:tab w:val="left" w:pos="6525"/>
        </w:tabs>
      </w:pPr>
      <w:r w:rsidRPr="00C4462E">
        <w:rPr>
          <w:noProof/>
          <w:shd w:val="clear" w:color="auto" w:fill="E6E6E6"/>
        </w:rPr>
        <mc:AlternateContent>
          <mc:Choice Requires="wps">
            <w:drawing>
              <wp:anchor distT="0" distB="0" distL="114300" distR="114300" simplePos="0" relativeHeight="251658241" behindDoc="1" locked="0" layoutInCell="1" allowOverlap="1" wp14:anchorId="049C0FB7" wp14:editId="7EBBD85A">
                <wp:simplePos x="0" y="0"/>
                <wp:positionH relativeFrom="column">
                  <wp:posOffset>2540</wp:posOffset>
                </wp:positionH>
                <wp:positionV relativeFrom="paragraph">
                  <wp:posOffset>161925</wp:posOffset>
                </wp:positionV>
                <wp:extent cx="2829560" cy="1181100"/>
                <wp:effectExtent l="0" t="0" r="889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1181100"/>
                        </a:xfrm>
                        <a:prstGeom prst="rect">
                          <a:avLst/>
                        </a:prstGeom>
                        <a:solidFill>
                          <a:srgbClr val="FFFFFF"/>
                        </a:solidFill>
                        <a:ln w="9525">
                          <a:noFill/>
                          <a:miter lim="800000"/>
                          <a:headEnd/>
                          <a:tailEnd/>
                        </a:ln>
                      </wps:spPr>
                      <wps:txbx>
                        <w:txbxContent>
                          <w:p w14:paraId="2FE4C400" w14:textId="77777777" w:rsidR="002042D3" w:rsidRDefault="002042D3" w:rsidP="002042D3">
                            <w:r>
                              <w:t>Planning Policy</w:t>
                            </w:r>
                          </w:p>
                          <w:p w14:paraId="763FF0C4" w14:textId="77777777" w:rsidR="002042D3" w:rsidRDefault="002042D3" w:rsidP="002042D3">
                            <w:r>
                              <w:t>Oxford City Council</w:t>
                            </w:r>
                          </w:p>
                          <w:p w14:paraId="0E0474F6" w14:textId="77777777" w:rsidR="002042D3" w:rsidRDefault="002042D3" w:rsidP="002042D3"/>
                          <w:p w14:paraId="5C07A841" w14:textId="77777777" w:rsidR="002042D3" w:rsidRDefault="002042D3" w:rsidP="002042D3">
                            <w:r>
                              <w:t>By email:  planningpolicy@oxford.gov.uk</w:t>
                            </w:r>
                          </w:p>
                          <w:p w14:paraId="2CCEA9DE" w14:textId="77777777" w:rsidR="002042D3" w:rsidRDefault="002042D3" w:rsidP="002042D3">
                            <w:pPr>
                              <w:shd w:val="clear" w:color="auto" w:fill="FFFFFF" w:themeFill="background1"/>
                              <w:ind w:left="-1701"/>
                            </w:pP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9C0FB7" id="Text Box 1" o:spid="_x0000_s1027" type="#_x0000_t202" alt="&quot;&quot;" style="position:absolute;margin-left:.2pt;margin-top:12.75pt;width:222.8pt;height:9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" stroked="f">
                <v:textbox>
                  <w:txbxContent>
                    <w:p w14:paraId="2FE4C400" w14:textId="77777777" w:rsidR="002042D3" w:rsidRDefault="002042D3" w:rsidP="002042D3">
                      <w:r>
                        <w:t>Planning Policy</w:t>
                      </w:r>
                    </w:p>
                    <w:p w14:paraId="763FF0C4" w14:textId="77777777" w:rsidR="002042D3" w:rsidRDefault="002042D3" w:rsidP="002042D3">
                      <w:r>
                        <w:t>Oxford City Council</w:t>
                      </w:r>
                    </w:p>
                    <w:p w14:paraId="0E0474F6" w14:textId="77777777" w:rsidR="002042D3" w:rsidRDefault="002042D3" w:rsidP="002042D3"/>
                    <w:p w14:paraId="5C07A841" w14:textId="77777777" w:rsidR="002042D3" w:rsidRDefault="002042D3" w:rsidP="002042D3">
                      <w:r>
                        <w:t>By email:  planningpolicy@oxford.gov.uk</w:t>
                      </w:r>
                    </w:p>
                    <w:p w14:paraId="2CCEA9DE" w14:textId="77777777" w:rsidR="002042D3" w:rsidRDefault="002042D3" w:rsidP="002042D3">
                      <w:pPr>
                        <w:shd w:val="clear" w:color="auto" w:fill="FFFFFF" w:themeFill="background1"/>
                        <w:ind w:left="-1701"/>
                      </w:pPr>
                    </w:p>
                  </w:txbxContent>
                </v:textbox>
              </v:shape>
            </w:pict>
          </mc:Fallback>
        </mc:AlternateContent>
      </w:r>
    </w:p>
    <w:p w14:paraId="0917301F" w14:textId="77777777" w:rsidR="002042D3" w:rsidRPr="00C4462E" w:rsidRDefault="002042D3" w:rsidP="002042D3">
      <w:pPr>
        <w:tabs>
          <w:tab w:val="left" w:pos="6525"/>
        </w:tabs>
      </w:pPr>
    </w:p>
    <w:p w14:paraId="599DD21A" w14:textId="77777777" w:rsidR="002042D3" w:rsidRPr="00C4462E" w:rsidRDefault="002042D3" w:rsidP="002042D3">
      <w:pPr>
        <w:tabs>
          <w:tab w:val="left" w:pos="6525"/>
        </w:tabs>
      </w:pPr>
    </w:p>
    <w:p w14:paraId="16921C2B" w14:textId="77777777" w:rsidR="002042D3" w:rsidRPr="00C4462E" w:rsidRDefault="002042D3" w:rsidP="002042D3">
      <w:pPr>
        <w:tabs>
          <w:tab w:val="left" w:pos="6525"/>
        </w:tabs>
      </w:pPr>
    </w:p>
    <w:p w14:paraId="7E4F6699" w14:textId="77777777" w:rsidR="002042D3" w:rsidRPr="00C4462E" w:rsidRDefault="002042D3" w:rsidP="002042D3">
      <w:pPr>
        <w:tabs>
          <w:tab w:val="left" w:pos="6525"/>
        </w:tabs>
      </w:pPr>
    </w:p>
    <w:p w14:paraId="471FF8A3" w14:textId="77777777" w:rsidR="002042D3" w:rsidRPr="00C4462E" w:rsidRDefault="002042D3" w:rsidP="002042D3">
      <w:pPr>
        <w:tabs>
          <w:tab w:val="left" w:pos="6525"/>
        </w:tabs>
      </w:pPr>
    </w:p>
    <w:p w14:paraId="30926533" w14:textId="77777777" w:rsidR="002042D3" w:rsidRPr="00C4462E" w:rsidRDefault="002042D3" w:rsidP="002042D3">
      <w:pPr>
        <w:tabs>
          <w:tab w:val="left" w:pos="6525"/>
        </w:tabs>
      </w:pPr>
    </w:p>
    <w:p w14:paraId="7B412326" w14:textId="77777777" w:rsidR="002042D3" w:rsidRPr="00C4462E" w:rsidRDefault="002042D3" w:rsidP="002042D3">
      <w:pPr>
        <w:tabs>
          <w:tab w:val="left" w:pos="6525"/>
        </w:tabs>
      </w:pPr>
    </w:p>
    <w:p w14:paraId="0CEE6FE7" w14:textId="77777777" w:rsidR="002042D3" w:rsidRPr="00C4462E" w:rsidRDefault="002042D3" w:rsidP="002042D3">
      <w:pPr>
        <w:tabs>
          <w:tab w:val="left" w:pos="6525"/>
        </w:tabs>
        <w:ind w:left="142" w:right="139"/>
      </w:pPr>
    </w:p>
    <w:p w14:paraId="045A6743" w14:textId="77777777" w:rsidR="002042D3" w:rsidRPr="00C4462E" w:rsidRDefault="002042D3" w:rsidP="005767D9">
      <w:pPr>
        <w:ind w:right="139"/>
      </w:pPr>
    </w:p>
    <w:p w14:paraId="1B381530" w14:textId="77777777" w:rsidR="002042D3" w:rsidRPr="00C4462E" w:rsidRDefault="002042D3" w:rsidP="002042D3">
      <w:pPr>
        <w:ind w:left="142" w:right="139"/>
      </w:pPr>
      <w:r w:rsidRPr="00C4462E">
        <w:t>Dear Planning Policy</w:t>
      </w:r>
    </w:p>
    <w:p w14:paraId="51918D7B" w14:textId="77777777" w:rsidR="002042D3" w:rsidRPr="00C4462E" w:rsidRDefault="002042D3" w:rsidP="002042D3">
      <w:pPr>
        <w:ind w:left="142" w:right="139"/>
      </w:pPr>
    </w:p>
    <w:p w14:paraId="57ED869E" w14:textId="07D960A2" w:rsidR="002042D3" w:rsidRPr="00C4462E" w:rsidRDefault="002042D3" w:rsidP="002042D3">
      <w:pPr>
        <w:ind w:left="142" w:right="139"/>
        <w:rPr>
          <w:b/>
        </w:rPr>
      </w:pPr>
      <w:r w:rsidRPr="00C4462E">
        <w:rPr>
          <w:b/>
        </w:rPr>
        <w:t xml:space="preserve">Public Consultation on </w:t>
      </w:r>
      <w:r w:rsidR="005767D9" w:rsidRPr="00C4462E">
        <w:rPr>
          <w:b/>
        </w:rPr>
        <w:t>Housing Need</w:t>
      </w:r>
      <w:r w:rsidRPr="00C4462E">
        <w:rPr>
          <w:b/>
        </w:rPr>
        <w:t xml:space="preserve"> for Oxford Local Plan 2040</w:t>
      </w:r>
    </w:p>
    <w:p w14:paraId="4E523A8F" w14:textId="5AFB2855" w:rsidR="002042D3" w:rsidRPr="00C4462E" w:rsidRDefault="002042D3" w:rsidP="002042D3">
      <w:pPr>
        <w:ind w:left="142" w:right="139"/>
        <w:rPr>
          <w:b/>
        </w:rPr>
      </w:pPr>
      <w:r w:rsidRPr="00C4462E">
        <w:rPr>
          <w:b/>
        </w:rPr>
        <w:t xml:space="preserve">Closing date </w:t>
      </w:r>
      <w:r w:rsidR="005767D9" w:rsidRPr="00C4462E">
        <w:rPr>
          <w:b/>
        </w:rPr>
        <w:t>27</w:t>
      </w:r>
      <w:r w:rsidR="00420772" w:rsidRPr="00420772">
        <w:rPr>
          <w:b/>
          <w:vertAlign w:val="superscript"/>
        </w:rPr>
        <w:t>th</w:t>
      </w:r>
      <w:r w:rsidR="00420772">
        <w:rPr>
          <w:b/>
        </w:rPr>
        <w:t xml:space="preserve"> </w:t>
      </w:r>
      <w:r w:rsidR="005767D9" w:rsidRPr="00C4462E">
        <w:rPr>
          <w:b/>
        </w:rPr>
        <w:t>March 2023</w:t>
      </w:r>
    </w:p>
    <w:p w14:paraId="439D4DA6" w14:textId="77777777" w:rsidR="002042D3" w:rsidRPr="00C4462E" w:rsidRDefault="002042D3" w:rsidP="002042D3">
      <w:pPr>
        <w:ind w:left="142" w:right="139"/>
      </w:pPr>
    </w:p>
    <w:p w14:paraId="5A7EDF45" w14:textId="54E72ADD" w:rsidR="0094216B" w:rsidRPr="00C4462E" w:rsidRDefault="005767D9" w:rsidP="005D2A12">
      <w:pPr>
        <w:ind w:left="142" w:right="139"/>
        <w:jc w:val="both"/>
      </w:pPr>
      <w:r w:rsidRPr="00C4462E">
        <w:t xml:space="preserve">Please see our response on the Housing Need Consultation attached. </w:t>
      </w:r>
      <w:r w:rsidR="0094216B" w:rsidRPr="00C4462E">
        <w:t>The consultation document relates to a new evidence document, namely the Housing and Economic Needs Assessment prepared by consultants Cambridge Econometrics.</w:t>
      </w:r>
    </w:p>
    <w:p w14:paraId="3ED12C30" w14:textId="77777777" w:rsidR="002042D3" w:rsidRPr="00C4462E" w:rsidRDefault="002042D3" w:rsidP="0094216B">
      <w:pPr>
        <w:ind w:right="139"/>
        <w:jc w:val="both"/>
      </w:pPr>
    </w:p>
    <w:p w14:paraId="2E401958" w14:textId="51D7446E" w:rsidR="0094216B" w:rsidRPr="00C4462E" w:rsidRDefault="002042D3" w:rsidP="005D2A12">
      <w:pPr>
        <w:ind w:left="142" w:right="139"/>
        <w:jc w:val="both"/>
      </w:pPr>
      <w:r w:rsidRPr="00C4462E">
        <w:t>These comments build on those we provided in</w:t>
      </w:r>
      <w:r w:rsidR="005767D9" w:rsidRPr="00C4462E">
        <w:t xml:space="preserve"> November 2022 on the Preferred Options and in</w:t>
      </w:r>
      <w:r w:rsidRPr="00C4462E">
        <w:t xml:space="preserve"> August 2021 </w:t>
      </w:r>
      <w:r w:rsidR="00615FF6" w:rsidRPr="00C4462E">
        <w:t>on</w:t>
      </w:r>
      <w:r w:rsidRPr="00C4462E">
        <w:t xml:space="preserve"> the Issues consultation </w:t>
      </w:r>
      <w:r w:rsidR="007D7C79" w:rsidRPr="00C4462E">
        <w:t>and should be viewed in conjunction with those comments</w:t>
      </w:r>
      <w:r w:rsidRPr="00C4462E">
        <w:t xml:space="preserve">. </w:t>
      </w:r>
    </w:p>
    <w:p w14:paraId="1B66755F" w14:textId="77777777" w:rsidR="0094216B" w:rsidRPr="00C4462E" w:rsidRDefault="0094216B" w:rsidP="005D2A12">
      <w:pPr>
        <w:ind w:left="142" w:right="139"/>
        <w:jc w:val="both"/>
      </w:pPr>
    </w:p>
    <w:p w14:paraId="4DB59809" w14:textId="44C760AE" w:rsidR="0094216B" w:rsidRPr="00C4462E" w:rsidRDefault="00615FF6" w:rsidP="0094216B">
      <w:pPr>
        <w:ind w:left="142" w:right="139"/>
        <w:jc w:val="both"/>
      </w:pPr>
      <w:r w:rsidRPr="00C4462E">
        <w:t>T</w:t>
      </w:r>
      <w:r w:rsidR="0094216B" w:rsidRPr="00C4462E">
        <w:t>wo other</w:t>
      </w:r>
      <w:r w:rsidR="00760B00">
        <w:t xml:space="preserve"> evidence</w:t>
      </w:r>
      <w:r w:rsidR="0094216B" w:rsidRPr="00C4462E">
        <w:t xml:space="preserve"> documents have been published now: the Green Belt Assessment of additional sites and the Character Assessment of Oxford in its landscape setting.   The consultation does not ask for comments on those documents.</w:t>
      </w:r>
    </w:p>
    <w:p w14:paraId="4A1AA737" w14:textId="77777777" w:rsidR="0094216B" w:rsidRPr="00C4462E" w:rsidRDefault="0094216B" w:rsidP="0094216B">
      <w:pPr>
        <w:ind w:right="139"/>
        <w:jc w:val="both"/>
      </w:pPr>
    </w:p>
    <w:p w14:paraId="79990BB2" w14:textId="260C8A19" w:rsidR="002042D3" w:rsidRPr="00C4462E" w:rsidRDefault="002042D3" w:rsidP="005D2A12">
      <w:pPr>
        <w:ind w:left="142" w:right="139"/>
        <w:jc w:val="both"/>
      </w:pPr>
      <w:r w:rsidRPr="00C4462E">
        <w:t>We look forward to continued involvement as the process progresses.  We understand that your current timetable is:</w:t>
      </w:r>
    </w:p>
    <w:p w14:paraId="048E163F" w14:textId="74197BA4" w:rsidR="002042D3" w:rsidRPr="00C4462E" w:rsidRDefault="002042D3" w:rsidP="002042D3">
      <w:pPr>
        <w:pStyle w:val="ListParagraph"/>
        <w:numPr>
          <w:ilvl w:val="0"/>
          <w:numId w:val="18"/>
        </w:numPr>
      </w:pPr>
      <w:r w:rsidRPr="00C4462E">
        <w:t xml:space="preserve">Regulation 19 in </w:t>
      </w:r>
      <w:r w:rsidR="005767D9" w:rsidRPr="00C4462E">
        <w:t>November to December</w:t>
      </w:r>
      <w:r w:rsidRPr="00C4462E">
        <w:t xml:space="preserve"> </w:t>
      </w:r>
      <w:proofErr w:type="gramStart"/>
      <w:r w:rsidRPr="00C4462E">
        <w:t>2023;</w:t>
      </w:r>
      <w:proofErr w:type="gramEnd"/>
      <w:r w:rsidRPr="00C4462E">
        <w:t xml:space="preserve"> </w:t>
      </w:r>
    </w:p>
    <w:p w14:paraId="59F833E5" w14:textId="769F3C72" w:rsidR="002042D3" w:rsidRPr="00C4462E" w:rsidRDefault="002042D3" w:rsidP="002042D3">
      <w:pPr>
        <w:pStyle w:val="ListParagraph"/>
        <w:numPr>
          <w:ilvl w:val="0"/>
          <w:numId w:val="18"/>
        </w:numPr>
      </w:pPr>
      <w:r w:rsidRPr="00C4462E">
        <w:t>Submission in</w:t>
      </w:r>
      <w:r w:rsidR="005767D9" w:rsidRPr="00C4462E">
        <w:t xml:space="preserve"> March</w:t>
      </w:r>
      <w:r w:rsidRPr="00C4462E">
        <w:t xml:space="preserve"> 2024; and </w:t>
      </w:r>
    </w:p>
    <w:p w14:paraId="21EBBD32" w14:textId="1DBF8E6A" w:rsidR="002042D3" w:rsidRPr="00C4462E" w:rsidRDefault="002042D3" w:rsidP="002042D3">
      <w:pPr>
        <w:pStyle w:val="ListParagraph"/>
        <w:numPr>
          <w:ilvl w:val="0"/>
          <w:numId w:val="18"/>
        </w:numPr>
      </w:pPr>
      <w:r w:rsidRPr="00C4462E">
        <w:t xml:space="preserve">Adoption by </w:t>
      </w:r>
      <w:r w:rsidR="002179B4" w:rsidRPr="00C4462E">
        <w:t xml:space="preserve">summer </w:t>
      </w:r>
      <w:r w:rsidRPr="00C4462E">
        <w:t>2025.</w:t>
      </w:r>
    </w:p>
    <w:p w14:paraId="0704F8F4" w14:textId="77777777" w:rsidR="002042D3" w:rsidRPr="00C4462E" w:rsidRDefault="002042D3" w:rsidP="002042D3">
      <w:pPr>
        <w:ind w:right="139"/>
      </w:pPr>
    </w:p>
    <w:p w14:paraId="64CF6B40" w14:textId="77777777" w:rsidR="002042D3" w:rsidRPr="00C4462E" w:rsidRDefault="002042D3" w:rsidP="002042D3">
      <w:pPr>
        <w:ind w:left="142" w:right="139"/>
      </w:pPr>
      <w:r w:rsidRPr="00C4462E">
        <w:t xml:space="preserve">Yours sincerely </w:t>
      </w:r>
    </w:p>
    <w:p w14:paraId="04526273" w14:textId="46FCE75C" w:rsidR="002042D3" w:rsidRDefault="002042D3" w:rsidP="002042D3">
      <w:pPr>
        <w:ind w:left="142" w:right="139"/>
      </w:pPr>
    </w:p>
    <w:tbl>
      <w:tblPr>
        <w:tblStyle w:val="TableGrid"/>
        <w:tblW w:w="0" w:type="auto"/>
        <w:tblInd w:w="142" w:type="dxa"/>
        <w:tblLook w:val="04A0" w:firstRow="1" w:lastRow="0" w:firstColumn="1" w:lastColumn="0" w:noHBand="0" w:noVBand="1"/>
      </w:tblPr>
      <w:tblGrid>
        <w:gridCol w:w="9100"/>
      </w:tblGrid>
      <w:tr w:rsidR="00546245" w14:paraId="390EA665" w14:textId="77777777" w:rsidTr="00546245">
        <w:tc>
          <w:tcPr>
            <w:tcW w:w="9242" w:type="dxa"/>
            <w:shd w:val="clear" w:color="auto" w:fill="0D0D0D" w:themeFill="text1" w:themeFillTint="F2"/>
          </w:tcPr>
          <w:p w14:paraId="4607F4CA" w14:textId="77777777" w:rsidR="00546245" w:rsidRDefault="00546245" w:rsidP="002042D3">
            <w:pPr>
              <w:ind w:right="139"/>
            </w:pPr>
          </w:p>
          <w:p w14:paraId="48041025" w14:textId="77777777" w:rsidR="00546245" w:rsidRDefault="00546245" w:rsidP="002042D3">
            <w:pPr>
              <w:ind w:right="139"/>
            </w:pPr>
          </w:p>
          <w:p w14:paraId="288268C9" w14:textId="77777777" w:rsidR="00546245" w:rsidRDefault="00546245" w:rsidP="002042D3">
            <w:pPr>
              <w:ind w:right="139"/>
            </w:pPr>
          </w:p>
          <w:p w14:paraId="03F71570" w14:textId="77777777" w:rsidR="00546245" w:rsidRDefault="00546245" w:rsidP="002042D3">
            <w:pPr>
              <w:ind w:right="139"/>
            </w:pPr>
          </w:p>
          <w:p w14:paraId="3422E096" w14:textId="2DFAA776" w:rsidR="00546245" w:rsidRDefault="00546245" w:rsidP="002042D3">
            <w:pPr>
              <w:ind w:right="139"/>
            </w:pPr>
          </w:p>
        </w:tc>
      </w:tr>
    </w:tbl>
    <w:p w14:paraId="6F448C03" w14:textId="77777777" w:rsidR="00546245" w:rsidRPr="00C4462E" w:rsidRDefault="00546245" w:rsidP="002042D3">
      <w:pPr>
        <w:ind w:left="142" w:right="139"/>
      </w:pPr>
    </w:p>
    <w:p w14:paraId="3F2991B1" w14:textId="2243A918" w:rsidR="00B0607D" w:rsidRPr="00C4462E" w:rsidRDefault="00627E2E" w:rsidP="00615FF6">
      <w:pPr>
        <w:ind w:left="142" w:right="139"/>
        <w:rPr>
          <w:b/>
        </w:rPr>
      </w:pPr>
      <w:hyperlink r:id="rId12" w:history="1">
        <w:r w:rsidR="002042D3" w:rsidRPr="00C4462E">
          <w:rPr>
            <w:rStyle w:val="Hyperlink"/>
            <w:b/>
            <w:color w:val="auto"/>
          </w:rPr>
          <w:t>www.oxfordshire.gov.uk</w:t>
        </w:r>
      </w:hyperlink>
      <w:r w:rsidR="002042D3" w:rsidRPr="00C4462E">
        <w:rPr>
          <w:rStyle w:val="Hyperlink"/>
          <w:b/>
          <w:color w:val="auto"/>
        </w:rPr>
        <w:t xml:space="preserve"> </w:t>
      </w:r>
      <w:r w:rsidR="002042D3" w:rsidRPr="00C4462E">
        <w:rPr>
          <w:b/>
        </w:rPr>
        <w:t xml:space="preserve"> </w:t>
      </w:r>
    </w:p>
    <w:p w14:paraId="6038C039" w14:textId="77777777" w:rsidR="00CA07EC" w:rsidRPr="00C4462E" w:rsidRDefault="00CA07EC" w:rsidP="00CA07EC">
      <w:pPr>
        <w:ind w:left="142" w:right="139"/>
        <w:jc w:val="center"/>
        <w:rPr>
          <w:b/>
          <w:bCs/>
          <w:sz w:val="22"/>
          <w:szCs w:val="22"/>
        </w:rPr>
      </w:pPr>
      <w:r w:rsidRPr="00C4462E">
        <w:rPr>
          <w:b/>
          <w:bCs/>
          <w:sz w:val="22"/>
          <w:szCs w:val="22"/>
        </w:rPr>
        <w:t>OXFORDSHIRE COUNTY COUNCIL RESPONSE ON</w:t>
      </w:r>
    </w:p>
    <w:p w14:paraId="58AA174C" w14:textId="1DCC1F06" w:rsidR="00CF4CAE" w:rsidRPr="00C4462E" w:rsidRDefault="00CA07EC" w:rsidP="00CA07EC">
      <w:pPr>
        <w:ind w:left="142" w:right="139"/>
        <w:jc w:val="center"/>
        <w:rPr>
          <w:b/>
          <w:bCs/>
          <w:sz w:val="22"/>
          <w:szCs w:val="22"/>
        </w:rPr>
      </w:pPr>
      <w:r w:rsidRPr="00C4462E">
        <w:rPr>
          <w:b/>
          <w:bCs/>
          <w:sz w:val="22"/>
          <w:szCs w:val="22"/>
        </w:rPr>
        <w:t xml:space="preserve">OXFORD CITY COUNCIL </w:t>
      </w:r>
      <w:r w:rsidR="005767D9" w:rsidRPr="00C4462E">
        <w:rPr>
          <w:b/>
          <w:bCs/>
          <w:sz w:val="22"/>
          <w:szCs w:val="22"/>
        </w:rPr>
        <w:t>HOUSING NEED</w:t>
      </w:r>
      <w:r w:rsidRPr="00C4462E">
        <w:rPr>
          <w:b/>
          <w:bCs/>
          <w:sz w:val="22"/>
          <w:szCs w:val="22"/>
        </w:rPr>
        <w:t xml:space="preserve"> CONSULTATION </w:t>
      </w:r>
    </w:p>
    <w:p w14:paraId="7C3327C4" w14:textId="54EE651E" w:rsidR="00CA07EC" w:rsidRPr="00C4462E" w:rsidRDefault="00CA07EC" w:rsidP="00CA07EC">
      <w:pPr>
        <w:ind w:left="142" w:right="139"/>
        <w:jc w:val="center"/>
        <w:rPr>
          <w:b/>
          <w:bCs/>
          <w:sz w:val="22"/>
          <w:szCs w:val="22"/>
        </w:rPr>
      </w:pPr>
      <w:r w:rsidRPr="00C4462E">
        <w:rPr>
          <w:b/>
          <w:bCs/>
          <w:sz w:val="22"/>
          <w:szCs w:val="22"/>
        </w:rPr>
        <w:t>(REGULATION 18)</w:t>
      </w:r>
    </w:p>
    <w:p w14:paraId="51897AF8" w14:textId="77777777" w:rsidR="00CA07EC" w:rsidRPr="00C4462E" w:rsidRDefault="00CA07EC" w:rsidP="00CA07EC">
      <w:pPr>
        <w:ind w:left="142" w:right="139"/>
        <w:jc w:val="center"/>
        <w:rPr>
          <w:b/>
          <w:bCs/>
          <w:sz w:val="22"/>
          <w:szCs w:val="22"/>
        </w:rPr>
      </w:pPr>
      <w:r w:rsidRPr="00C4462E">
        <w:rPr>
          <w:b/>
          <w:bCs/>
          <w:sz w:val="22"/>
          <w:szCs w:val="22"/>
        </w:rPr>
        <w:lastRenderedPageBreak/>
        <w:t>THE OXFORD LOCAL PLAN 2040</w:t>
      </w:r>
    </w:p>
    <w:p w14:paraId="223F642C" w14:textId="43CBCD38" w:rsidR="00CA07EC" w:rsidRPr="00C4462E" w:rsidRDefault="00F07B51" w:rsidP="00CA07EC">
      <w:pPr>
        <w:ind w:left="142" w:right="139"/>
        <w:jc w:val="center"/>
        <w:rPr>
          <w:b/>
          <w:bCs/>
          <w:sz w:val="22"/>
          <w:szCs w:val="22"/>
        </w:rPr>
      </w:pPr>
      <w:r w:rsidRPr="00C4462E">
        <w:rPr>
          <w:b/>
          <w:bCs/>
          <w:sz w:val="22"/>
          <w:szCs w:val="22"/>
        </w:rPr>
        <w:t>Closing 27</w:t>
      </w:r>
      <w:r w:rsidRPr="00C4462E">
        <w:rPr>
          <w:b/>
          <w:bCs/>
          <w:sz w:val="22"/>
          <w:szCs w:val="22"/>
          <w:vertAlign w:val="superscript"/>
        </w:rPr>
        <w:t>th</w:t>
      </w:r>
      <w:r w:rsidRPr="00C4462E">
        <w:rPr>
          <w:b/>
          <w:bCs/>
          <w:sz w:val="22"/>
          <w:szCs w:val="22"/>
        </w:rPr>
        <w:t xml:space="preserve"> </w:t>
      </w:r>
      <w:r w:rsidR="005767D9" w:rsidRPr="00C4462E">
        <w:rPr>
          <w:b/>
          <w:bCs/>
          <w:sz w:val="22"/>
          <w:szCs w:val="22"/>
        </w:rPr>
        <w:t>March</w:t>
      </w:r>
      <w:r w:rsidR="00CA07EC" w:rsidRPr="00C4462E">
        <w:rPr>
          <w:b/>
          <w:bCs/>
          <w:sz w:val="22"/>
          <w:szCs w:val="22"/>
        </w:rPr>
        <w:t xml:space="preserve"> 202</w:t>
      </w:r>
      <w:r w:rsidR="005767D9" w:rsidRPr="00C4462E">
        <w:rPr>
          <w:b/>
          <w:bCs/>
          <w:sz w:val="22"/>
          <w:szCs w:val="22"/>
        </w:rPr>
        <w:t>3</w:t>
      </w:r>
    </w:p>
    <w:p w14:paraId="43AFB0D9" w14:textId="7BC86C1E" w:rsidR="008030B4" w:rsidRPr="00C4462E" w:rsidRDefault="008030B4">
      <w:pPr>
        <w:rPr>
          <w:sz w:val="22"/>
          <w:szCs w:val="22"/>
        </w:rPr>
      </w:pPr>
    </w:p>
    <w:p w14:paraId="0A8350AF" w14:textId="3FAFB5F4" w:rsidR="00DB034B" w:rsidRPr="00C4462E" w:rsidRDefault="00DB034B" w:rsidP="00F07B51">
      <w:pPr>
        <w:jc w:val="both"/>
        <w:rPr>
          <w:b/>
          <w:bCs/>
          <w:sz w:val="22"/>
          <w:szCs w:val="22"/>
        </w:rPr>
      </w:pPr>
      <w:r w:rsidRPr="00C4462E">
        <w:rPr>
          <w:b/>
          <w:bCs/>
          <w:sz w:val="22"/>
          <w:szCs w:val="22"/>
        </w:rPr>
        <w:t>Introduction</w:t>
      </w:r>
    </w:p>
    <w:p w14:paraId="52E42350" w14:textId="152B8D74" w:rsidR="00DB034B" w:rsidRPr="00C4462E" w:rsidRDefault="00DB034B" w:rsidP="00F07B51">
      <w:pPr>
        <w:jc w:val="both"/>
        <w:rPr>
          <w:sz w:val="22"/>
          <w:szCs w:val="22"/>
        </w:rPr>
      </w:pPr>
    </w:p>
    <w:p w14:paraId="42DE695E" w14:textId="04D7E79B" w:rsidR="00DB034B" w:rsidRPr="00C4462E" w:rsidRDefault="004D3DCD" w:rsidP="00F07B51">
      <w:pPr>
        <w:pStyle w:val="ListParagraph"/>
        <w:numPr>
          <w:ilvl w:val="0"/>
          <w:numId w:val="32"/>
        </w:numPr>
        <w:jc w:val="both"/>
        <w:rPr>
          <w:sz w:val="22"/>
          <w:szCs w:val="22"/>
        </w:rPr>
      </w:pPr>
      <w:r w:rsidRPr="00C4462E">
        <w:rPr>
          <w:sz w:val="22"/>
          <w:szCs w:val="22"/>
        </w:rPr>
        <w:t>The County Council’s</w:t>
      </w:r>
      <w:r w:rsidR="00DB034B" w:rsidRPr="00C4462E">
        <w:rPr>
          <w:sz w:val="22"/>
          <w:szCs w:val="22"/>
        </w:rPr>
        <w:t xml:space="preserve"> previous responses</w:t>
      </w:r>
      <w:r w:rsidR="00615FF6" w:rsidRPr="00C4462E">
        <w:rPr>
          <w:sz w:val="22"/>
          <w:szCs w:val="22"/>
        </w:rPr>
        <w:t xml:space="preserve"> during this ‘Regulation 18’ stage of developing the Local Plan</w:t>
      </w:r>
      <w:r w:rsidR="00DB034B" w:rsidRPr="00C4462E">
        <w:rPr>
          <w:sz w:val="22"/>
          <w:szCs w:val="22"/>
        </w:rPr>
        <w:t xml:space="preserve"> have addressed housing need matters.  Some excerpts from our last response in November 2022 are copied below</w:t>
      </w:r>
      <w:r w:rsidR="00BC0EE1" w:rsidRPr="00C4462E">
        <w:rPr>
          <w:sz w:val="22"/>
          <w:szCs w:val="22"/>
        </w:rPr>
        <w:t xml:space="preserve"> and are to be considered part of this response</w:t>
      </w:r>
      <w:r w:rsidR="00DB034B" w:rsidRPr="00C4462E">
        <w:rPr>
          <w:sz w:val="22"/>
          <w:szCs w:val="22"/>
        </w:rPr>
        <w:t xml:space="preserve">.  </w:t>
      </w:r>
    </w:p>
    <w:p w14:paraId="2C7DD958" w14:textId="77777777" w:rsidR="00DB034B" w:rsidRPr="00C4462E" w:rsidRDefault="00DB034B" w:rsidP="00F07B51">
      <w:pPr>
        <w:pStyle w:val="ListParagraph"/>
        <w:ind w:left="360"/>
        <w:jc w:val="both"/>
        <w:rPr>
          <w:sz w:val="22"/>
          <w:szCs w:val="22"/>
        </w:rPr>
      </w:pPr>
    </w:p>
    <w:p w14:paraId="08EFAF69" w14:textId="7307D66A" w:rsidR="00DB034B" w:rsidRPr="00C4462E" w:rsidRDefault="00DB034B" w:rsidP="00F07B51">
      <w:pPr>
        <w:pStyle w:val="ListParagraph"/>
        <w:numPr>
          <w:ilvl w:val="1"/>
          <w:numId w:val="32"/>
        </w:numPr>
        <w:jc w:val="both"/>
        <w:rPr>
          <w:sz w:val="22"/>
          <w:szCs w:val="22"/>
        </w:rPr>
      </w:pPr>
      <w:r w:rsidRPr="00C4462E">
        <w:rPr>
          <w:sz w:val="22"/>
          <w:szCs w:val="22"/>
        </w:rPr>
        <w:t xml:space="preserve">Addressing housing need is a fundamental role for the Local Plan.  The County Council has been consistent in urging the City Council to respond to the challenge – giving priority to housing on development sites and ensuring that land is used efficiently, for example through higher densities than has historically been the case.  It is important that the local plan recognises that some housing will in future be located where it has not traditionally been located (for example as some employment uses vacate) and sets policies to ensure that healthy new places are established.  </w:t>
      </w:r>
    </w:p>
    <w:p w14:paraId="0EB98B5C" w14:textId="77777777" w:rsidR="00DB034B" w:rsidRPr="00C4462E" w:rsidRDefault="00DB034B" w:rsidP="00F07B51">
      <w:pPr>
        <w:pStyle w:val="ListParagraph"/>
        <w:ind w:left="1080"/>
        <w:jc w:val="both"/>
        <w:rPr>
          <w:sz w:val="22"/>
          <w:szCs w:val="22"/>
        </w:rPr>
      </w:pPr>
    </w:p>
    <w:p w14:paraId="1401C278" w14:textId="7F23FCCB" w:rsidR="00DB034B" w:rsidRPr="00C4462E" w:rsidRDefault="00DB034B" w:rsidP="00F07B51">
      <w:pPr>
        <w:pStyle w:val="ListParagraph"/>
        <w:numPr>
          <w:ilvl w:val="1"/>
          <w:numId w:val="32"/>
        </w:numPr>
        <w:jc w:val="both"/>
        <w:rPr>
          <w:sz w:val="22"/>
          <w:szCs w:val="22"/>
        </w:rPr>
      </w:pPr>
      <w:r w:rsidRPr="00C4462E">
        <w:rPr>
          <w:sz w:val="22"/>
          <w:szCs w:val="22"/>
        </w:rPr>
        <w:t>The amount of future housing expected is a key matter for the Local Plan.  The City Council is intending a further consultation on housing need in early 2023, so we expect that the use of a capacity-based figure or some other figure will be considered further at that time. We note that the City Council has assessed the capacity as 9,147 dwellings over the plan period between 2020 and 2040.  This figure will be tested throughout the plan process.  Paragraph 2.6 on page 27 indicates that if the 9,147 figure is used, this will mean a lower housing requirement than even the lowest possible housing need determined using the Standard Method.  9,147 houses over 20 years equals about 457 houses per year. The Background Paper #1 indicates that this relates to 114 sites and a windfall assumption of 127 houses per year.  The Authority Monitoring Report 2020/2021 indicates that during that year 743 dwellings net were completed.  That figure of 743 was identified applying new student and care home ratios from the Housing Delivery Test rule book as there were 320 market dwellings, 144 affordable dwellings, 712 student rooms and -11 care home rooms completed.  The total completions over the five years 2016-2021 were 2,691 – an average of 538 per year.  The current Local Plan has a stepped trajectory of 475 dwellings per annum between 2016/17 to 2020/21 and 567 dwellings per annum between 2021/22 and 2035/36, however the average per year of, 544, is very close to the 538 achieved over the first five years of the plan period.  9,147 houses over the 20 years 2020-2040 would be less than that previously envisaged for the 20 years 2016-2036, which totalled 10,880, and the next consultation should clearly set out the numbers and detail the reasons such as whether landowners are now not seeking to redevelop their sites and why.</w:t>
      </w:r>
    </w:p>
    <w:p w14:paraId="22A5F6AD" w14:textId="77777777" w:rsidR="00DB034B" w:rsidRPr="00C4462E" w:rsidRDefault="00DB034B" w:rsidP="00F07B51">
      <w:pPr>
        <w:pStyle w:val="ListParagraph"/>
        <w:ind w:left="1080"/>
        <w:jc w:val="both"/>
        <w:rPr>
          <w:sz w:val="22"/>
          <w:szCs w:val="22"/>
        </w:rPr>
      </w:pPr>
    </w:p>
    <w:p w14:paraId="2E65B7A9" w14:textId="77777777" w:rsidR="00DB034B" w:rsidRPr="00C4462E" w:rsidRDefault="00DB034B" w:rsidP="00F07B51">
      <w:pPr>
        <w:pStyle w:val="ListParagraph"/>
        <w:numPr>
          <w:ilvl w:val="1"/>
          <w:numId w:val="32"/>
        </w:numPr>
        <w:jc w:val="both"/>
        <w:rPr>
          <w:sz w:val="22"/>
          <w:szCs w:val="22"/>
        </w:rPr>
      </w:pPr>
      <w:r w:rsidRPr="00C4462E">
        <w:rPr>
          <w:sz w:val="22"/>
          <w:szCs w:val="22"/>
        </w:rPr>
        <w:t xml:space="preserve">The districts surrounding Oxford have already provided for Oxford’s unmet need during the last Local Plan process, for periods of up to 2035.  More transparent figures are needed in the next consultation stage in early 2023 as to what is already being provided over what period. It is recognised that the preferred options document attempts to identify the housing being provided in the districts to meet the unmet needs in paragraph 8.5 and Figure 8.2 and 8.3 of the </w:t>
      </w:r>
      <w:proofErr w:type="gramStart"/>
      <w:r w:rsidRPr="00C4462E">
        <w:rPr>
          <w:sz w:val="22"/>
          <w:szCs w:val="22"/>
        </w:rPr>
        <w:t>document</w:t>
      </w:r>
      <w:proofErr w:type="gramEnd"/>
      <w:r w:rsidRPr="00C4462E">
        <w:rPr>
          <w:sz w:val="22"/>
          <w:szCs w:val="22"/>
        </w:rPr>
        <w:t xml:space="preserve">, however those figures might be misleading, and some joint statements of common ground with the Districts are needed in respect of how housing from each site is to be counted.  For example, the capacities noted for </w:t>
      </w:r>
      <w:proofErr w:type="gramStart"/>
      <w:r w:rsidRPr="00C4462E">
        <w:rPr>
          <w:sz w:val="22"/>
          <w:szCs w:val="22"/>
        </w:rPr>
        <w:t>a number of</w:t>
      </w:r>
      <w:proofErr w:type="gramEnd"/>
      <w:r w:rsidRPr="00C4462E">
        <w:rPr>
          <w:sz w:val="22"/>
          <w:szCs w:val="22"/>
        </w:rPr>
        <w:t xml:space="preserve"> the sites simply follow their allocation amounts, but it is not clear what happens if the developers build more than that number – could those additional </w:t>
      </w:r>
      <w:r w:rsidRPr="00C4462E">
        <w:rPr>
          <w:sz w:val="22"/>
          <w:szCs w:val="22"/>
        </w:rPr>
        <w:lastRenderedPageBreak/>
        <w:t xml:space="preserve">houses be calculated as meeting more of Oxford’s unmet need?  In the case of Vale of White Horse and West Oxfordshire, the capacities noted do not follow the allocation amounts, and it is not clear which houses from the identified sites are addressing the unmet need, and again, whether further housing on those sites might be calculated for Oxford’s unmet need beyond their current plan periods.  In the case of South Oxfordshire, it is not clear whether the capacities of those sites given, which totals 5,900, are </w:t>
      </w:r>
      <w:proofErr w:type="gramStart"/>
      <w:r w:rsidRPr="00C4462E">
        <w:rPr>
          <w:sz w:val="22"/>
          <w:szCs w:val="22"/>
        </w:rPr>
        <w:t>actually agreed</w:t>
      </w:r>
      <w:proofErr w:type="gramEnd"/>
      <w:r w:rsidRPr="00C4462E">
        <w:rPr>
          <w:sz w:val="22"/>
          <w:szCs w:val="22"/>
        </w:rPr>
        <w:t xml:space="preserve"> as addressing Oxford’s unmet need as the current South Oxfordshire local plan refers only to providing for 4,950 homes of Oxford’s unmet need over the period to 2035.  </w:t>
      </w:r>
    </w:p>
    <w:p w14:paraId="0F438C5D" w14:textId="77777777" w:rsidR="00DB034B" w:rsidRPr="00C4462E" w:rsidRDefault="00DB034B" w:rsidP="00F07B51">
      <w:pPr>
        <w:pStyle w:val="ListParagraph"/>
        <w:ind w:left="1080"/>
        <w:jc w:val="both"/>
        <w:rPr>
          <w:sz w:val="22"/>
          <w:szCs w:val="22"/>
        </w:rPr>
      </w:pPr>
    </w:p>
    <w:p w14:paraId="0BB2D047" w14:textId="77777777" w:rsidR="004D3DCD" w:rsidRPr="00C4462E" w:rsidRDefault="00DB034B" w:rsidP="00F07B51">
      <w:pPr>
        <w:pStyle w:val="ListParagraph"/>
        <w:numPr>
          <w:ilvl w:val="1"/>
          <w:numId w:val="32"/>
        </w:numPr>
        <w:jc w:val="both"/>
        <w:rPr>
          <w:sz w:val="22"/>
          <w:szCs w:val="22"/>
        </w:rPr>
      </w:pPr>
      <w:r w:rsidRPr="00C4462E">
        <w:rPr>
          <w:sz w:val="22"/>
          <w:szCs w:val="22"/>
        </w:rPr>
        <w:t xml:space="preserve">The County Council has an interest in understanding the calculations of housing need as, if Oxford’s need cannot be met within its boundaries or within the numbers on already allocated sites near its boundaries, there might be an increase in development further afield, making it more difficult to have </w:t>
      </w:r>
      <w:proofErr w:type="gramStart"/>
      <w:r w:rsidRPr="00C4462E">
        <w:rPr>
          <w:sz w:val="22"/>
          <w:szCs w:val="22"/>
        </w:rPr>
        <w:t>15 or 20 minute</w:t>
      </w:r>
      <w:proofErr w:type="gramEnd"/>
      <w:r w:rsidRPr="00C4462E">
        <w:rPr>
          <w:sz w:val="22"/>
          <w:szCs w:val="22"/>
        </w:rPr>
        <w:t xml:space="preserve"> neighbourhoods and leading to increased commuting and a need for further transport infrastructure and interventions.  </w:t>
      </w:r>
    </w:p>
    <w:p w14:paraId="65ECEB9D" w14:textId="77777777" w:rsidR="004D3DCD" w:rsidRPr="00C4462E" w:rsidRDefault="004D3DCD" w:rsidP="00F07B51">
      <w:pPr>
        <w:pStyle w:val="ListParagraph"/>
        <w:jc w:val="both"/>
        <w:rPr>
          <w:sz w:val="22"/>
          <w:szCs w:val="22"/>
        </w:rPr>
      </w:pPr>
    </w:p>
    <w:p w14:paraId="3F947E8A" w14:textId="37B5B565" w:rsidR="00203D84" w:rsidRPr="00C4462E" w:rsidRDefault="00203D84" w:rsidP="00F07B51">
      <w:pPr>
        <w:pStyle w:val="ListParagraph"/>
        <w:numPr>
          <w:ilvl w:val="1"/>
          <w:numId w:val="32"/>
        </w:numPr>
        <w:jc w:val="both"/>
        <w:rPr>
          <w:sz w:val="22"/>
          <w:szCs w:val="22"/>
        </w:rPr>
      </w:pPr>
      <w:r w:rsidRPr="00C4462E">
        <w:rPr>
          <w:sz w:val="22"/>
          <w:szCs w:val="22"/>
        </w:rPr>
        <w:t>There is currently an acute shortage of one bed properties at social and affordable rent. These are needed for people of all ages currently living in supported accommodation. The lack of opportunity to move into suitable properties of their own, when they no longer need the support, limits the availability of supported accommodation for others who need it.  More one-bedroom properties will also allow more opportunities for down-sizing given the ageing population.</w:t>
      </w:r>
    </w:p>
    <w:p w14:paraId="3EC74608" w14:textId="77777777" w:rsidR="00203D84" w:rsidRPr="00C4462E" w:rsidRDefault="00203D84" w:rsidP="00F07B51">
      <w:pPr>
        <w:pStyle w:val="ListParagraph"/>
        <w:jc w:val="both"/>
        <w:rPr>
          <w:sz w:val="22"/>
          <w:szCs w:val="22"/>
        </w:rPr>
      </w:pPr>
    </w:p>
    <w:p w14:paraId="2C468B57" w14:textId="193601B4" w:rsidR="004D3DCD" w:rsidRPr="00C4462E" w:rsidRDefault="004D3DCD" w:rsidP="00F07B51">
      <w:pPr>
        <w:pStyle w:val="ListParagraph"/>
        <w:numPr>
          <w:ilvl w:val="1"/>
          <w:numId w:val="32"/>
        </w:numPr>
        <w:jc w:val="both"/>
        <w:rPr>
          <w:sz w:val="22"/>
          <w:szCs w:val="22"/>
        </w:rPr>
      </w:pPr>
      <w:r w:rsidRPr="00C4462E">
        <w:rPr>
          <w:sz w:val="22"/>
          <w:szCs w:val="22"/>
        </w:rPr>
        <w:t xml:space="preserve">We note that the pressure on social housing is phenomenal.  The County Council is involved in respect of its social care role.  The County Council thinks that additional affordable extra care housing will be needed either in Oxford City or in the sites immediately adjoining in the </w:t>
      </w:r>
      <w:proofErr w:type="gramStart"/>
      <w:r w:rsidR="001A5ED8">
        <w:rPr>
          <w:sz w:val="22"/>
          <w:szCs w:val="22"/>
        </w:rPr>
        <w:t>D</w:t>
      </w:r>
      <w:r w:rsidRPr="00C4462E">
        <w:rPr>
          <w:sz w:val="22"/>
          <w:szCs w:val="22"/>
        </w:rPr>
        <w:t>istricts</w:t>
      </w:r>
      <w:proofErr w:type="gramEnd"/>
      <w:r w:rsidRPr="00C4462E">
        <w:rPr>
          <w:sz w:val="22"/>
          <w:szCs w:val="22"/>
        </w:rPr>
        <w:t xml:space="preserve"> and our housing development team within our adult social care directorate will be seeking to review its evidence to quantify the need. The County Council also seeks that the local plan provides for varying needs - an example is kinship foster carers, who take on children of relatives who are unable to live with their parents and can end up in overcrowded conditions.  Lack of adequate housing is also a factor in preventing parents from being reunited with their children after downsizing due to children being removed.</w:t>
      </w:r>
    </w:p>
    <w:p w14:paraId="295C5F73" w14:textId="77777777" w:rsidR="004D3DCD" w:rsidRPr="00C4462E" w:rsidRDefault="004D3DCD" w:rsidP="00F07B51">
      <w:pPr>
        <w:pStyle w:val="ListParagraph"/>
        <w:jc w:val="both"/>
        <w:rPr>
          <w:rFonts w:eastAsia="Arial"/>
          <w:sz w:val="22"/>
          <w:szCs w:val="22"/>
        </w:rPr>
      </w:pPr>
    </w:p>
    <w:p w14:paraId="0483DACC" w14:textId="7FEC6E0B" w:rsidR="004D3DCD" w:rsidRPr="00C4462E" w:rsidRDefault="004D3DCD" w:rsidP="00F07B51">
      <w:pPr>
        <w:pStyle w:val="ListParagraph"/>
        <w:numPr>
          <w:ilvl w:val="1"/>
          <w:numId w:val="32"/>
        </w:numPr>
        <w:jc w:val="both"/>
        <w:rPr>
          <w:sz w:val="22"/>
          <w:szCs w:val="22"/>
        </w:rPr>
      </w:pPr>
      <w:r w:rsidRPr="00C4462E">
        <w:rPr>
          <w:rFonts w:eastAsia="Arial"/>
          <w:sz w:val="22"/>
          <w:szCs w:val="22"/>
        </w:rPr>
        <w:t>We welcome the proposal for a policy that is more specific on the requirements for wheelchair accessible dwellings amongst the affordable housing component.  We would also like to see wheelchair accessible dwellings amongst a proportion of the market homes.  Providing for such will help provide for some people who would otherwise require extra care housing or residential care.</w:t>
      </w:r>
    </w:p>
    <w:p w14:paraId="65FF7393" w14:textId="77777777" w:rsidR="00DB034B" w:rsidRPr="00C4462E" w:rsidRDefault="00DB034B" w:rsidP="00F07B51">
      <w:pPr>
        <w:jc w:val="both"/>
        <w:rPr>
          <w:sz w:val="22"/>
          <w:szCs w:val="22"/>
        </w:rPr>
      </w:pPr>
    </w:p>
    <w:p w14:paraId="4A15D4C4" w14:textId="1FA7B162" w:rsidR="00B24FBF" w:rsidRPr="00C4462E" w:rsidRDefault="00B24FBF" w:rsidP="00F07B51">
      <w:pPr>
        <w:pStyle w:val="ListParagraph"/>
        <w:numPr>
          <w:ilvl w:val="0"/>
          <w:numId w:val="32"/>
        </w:numPr>
        <w:jc w:val="both"/>
        <w:rPr>
          <w:sz w:val="22"/>
          <w:szCs w:val="22"/>
        </w:rPr>
      </w:pPr>
      <w:r w:rsidRPr="00C4462E">
        <w:rPr>
          <w:sz w:val="22"/>
          <w:szCs w:val="22"/>
        </w:rPr>
        <w:t xml:space="preserve">The housing need consultation document </w:t>
      </w:r>
      <w:r w:rsidR="00615FF6" w:rsidRPr="00C4462E">
        <w:rPr>
          <w:sz w:val="22"/>
          <w:szCs w:val="22"/>
        </w:rPr>
        <w:t>refers to</w:t>
      </w:r>
      <w:r w:rsidR="0094216B" w:rsidRPr="00C4462E">
        <w:rPr>
          <w:sz w:val="22"/>
          <w:szCs w:val="22"/>
        </w:rPr>
        <w:t xml:space="preserve"> </w:t>
      </w:r>
      <w:r w:rsidRPr="00C4462E">
        <w:rPr>
          <w:sz w:val="22"/>
          <w:szCs w:val="22"/>
        </w:rPr>
        <w:t xml:space="preserve">the </w:t>
      </w:r>
      <w:r w:rsidR="0094216B" w:rsidRPr="00C4462E">
        <w:rPr>
          <w:sz w:val="22"/>
          <w:szCs w:val="22"/>
        </w:rPr>
        <w:t xml:space="preserve">9,147 </w:t>
      </w:r>
      <w:r w:rsidRPr="00C4462E">
        <w:rPr>
          <w:sz w:val="22"/>
          <w:szCs w:val="22"/>
        </w:rPr>
        <w:t xml:space="preserve">figure </w:t>
      </w:r>
      <w:r w:rsidR="00615FF6" w:rsidRPr="00C4462E">
        <w:rPr>
          <w:sz w:val="22"/>
          <w:szCs w:val="22"/>
        </w:rPr>
        <w:t xml:space="preserve">for capacity </w:t>
      </w:r>
      <w:r w:rsidRPr="00C4462E">
        <w:rPr>
          <w:sz w:val="22"/>
          <w:szCs w:val="22"/>
        </w:rPr>
        <w:t xml:space="preserve">2020-2040 </w:t>
      </w:r>
      <w:r w:rsidR="005D2A12" w:rsidRPr="00C4462E">
        <w:rPr>
          <w:sz w:val="22"/>
          <w:szCs w:val="22"/>
        </w:rPr>
        <w:t>as per the HELAA provided at the last consultation stage</w:t>
      </w:r>
      <w:r w:rsidRPr="00C4462E">
        <w:rPr>
          <w:sz w:val="22"/>
          <w:szCs w:val="22"/>
        </w:rPr>
        <w:t>, which equals about 457 dwellings per annum</w:t>
      </w:r>
      <w:r w:rsidR="00BE73CA" w:rsidRPr="00C4462E">
        <w:rPr>
          <w:sz w:val="22"/>
          <w:szCs w:val="22"/>
        </w:rPr>
        <w:t xml:space="preserve"> (</w:t>
      </w:r>
      <w:proofErr w:type="spellStart"/>
      <w:r w:rsidR="00BE73CA" w:rsidRPr="00C4462E">
        <w:rPr>
          <w:sz w:val="22"/>
          <w:szCs w:val="22"/>
        </w:rPr>
        <w:t>dpa</w:t>
      </w:r>
      <w:proofErr w:type="spellEnd"/>
      <w:r w:rsidR="00BE73CA" w:rsidRPr="00C4462E">
        <w:rPr>
          <w:sz w:val="22"/>
          <w:szCs w:val="22"/>
        </w:rPr>
        <w:t>)</w:t>
      </w:r>
      <w:r w:rsidRPr="00C4462E">
        <w:rPr>
          <w:sz w:val="22"/>
          <w:szCs w:val="22"/>
        </w:rPr>
        <w:t>. It indicates that a stepped trajectory might be proposed, whereby a greater number of homes are required in some years of the plan than others.</w:t>
      </w:r>
    </w:p>
    <w:p w14:paraId="3226A4CF" w14:textId="77777777" w:rsidR="00B24FBF" w:rsidRPr="00C4462E" w:rsidRDefault="00B24FBF" w:rsidP="00F07B51">
      <w:pPr>
        <w:pStyle w:val="ListParagraph"/>
        <w:ind w:left="360"/>
        <w:jc w:val="both"/>
        <w:rPr>
          <w:sz w:val="22"/>
          <w:szCs w:val="22"/>
        </w:rPr>
      </w:pPr>
    </w:p>
    <w:p w14:paraId="744F12CB" w14:textId="0307559E" w:rsidR="00DB034B" w:rsidRPr="00C4462E" w:rsidRDefault="00B24FBF" w:rsidP="00F07B51">
      <w:pPr>
        <w:pStyle w:val="ListParagraph"/>
        <w:numPr>
          <w:ilvl w:val="0"/>
          <w:numId w:val="32"/>
        </w:numPr>
        <w:jc w:val="both"/>
        <w:rPr>
          <w:sz w:val="22"/>
          <w:szCs w:val="22"/>
        </w:rPr>
      </w:pPr>
      <w:r w:rsidRPr="00C4462E">
        <w:rPr>
          <w:sz w:val="22"/>
          <w:szCs w:val="22"/>
        </w:rPr>
        <w:t>New to this consultation is an assessment of the housing need</w:t>
      </w:r>
      <w:r w:rsidR="00615FF6" w:rsidRPr="00C4462E">
        <w:rPr>
          <w:sz w:val="22"/>
          <w:szCs w:val="22"/>
        </w:rPr>
        <w:t xml:space="preserve"> by Cambridge Econometrics</w:t>
      </w:r>
      <w:r w:rsidRPr="00C4462E">
        <w:rPr>
          <w:sz w:val="22"/>
          <w:szCs w:val="22"/>
        </w:rPr>
        <w:t>.  The conclusion of the Housing and Economic Need Assessment is that the housing need</w:t>
      </w:r>
      <w:r w:rsidR="005D2A12" w:rsidRPr="00C4462E">
        <w:rPr>
          <w:sz w:val="22"/>
          <w:szCs w:val="22"/>
        </w:rPr>
        <w:t xml:space="preserve"> for</w:t>
      </w:r>
      <w:r w:rsidRPr="00C4462E">
        <w:rPr>
          <w:sz w:val="22"/>
          <w:szCs w:val="22"/>
        </w:rPr>
        <w:t xml:space="preserve"> </w:t>
      </w:r>
      <w:r w:rsidR="001A5ED8">
        <w:rPr>
          <w:sz w:val="22"/>
          <w:szCs w:val="22"/>
        </w:rPr>
        <w:t xml:space="preserve">the city is </w:t>
      </w:r>
      <w:r w:rsidRPr="00C4462E">
        <w:rPr>
          <w:sz w:val="22"/>
          <w:szCs w:val="22"/>
        </w:rPr>
        <w:t>some 26,440</w:t>
      </w:r>
      <w:r w:rsidR="005D2A12" w:rsidRPr="00C4462E">
        <w:rPr>
          <w:sz w:val="22"/>
          <w:szCs w:val="22"/>
        </w:rPr>
        <w:t xml:space="preserve"> dwellings 2020-2040</w:t>
      </w:r>
      <w:r w:rsidRPr="00C4462E">
        <w:rPr>
          <w:sz w:val="22"/>
          <w:szCs w:val="22"/>
        </w:rPr>
        <w:t xml:space="preserve">, </w:t>
      </w:r>
      <w:r w:rsidR="001A5ED8">
        <w:rPr>
          <w:sz w:val="22"/>
          <w:szCs w:val="22"/>
        </w:rPr>
        <w:t>based on</w:t>
      </w:r>
      <w:r w:rsidR="00BE73CA" w:rsidRPr="00C4462E">
        <w:rPr>
          <w:sz w:val="22"/>
          <w:szCs w:val="22"/>
        </w:rPr>
        <w:t xml:space="preserve"> a figure of</w:t>
      </w:r>
      <w:r w:rsidRPr="00C4462E">
        <w:rPr>
          <w:sz w:val="22"/>
          <w:szCs w:val="22"/>
        </w:rPr>
        <w:t xml:space="preserve"> 1,322 </w:t>
      </w:r>
      <w:proofErr w:type="spellStart"/>
      <w:r w:rsidR="00BE73CA" w:rsidRPr="00C4462E">
        <w:rPr>
          <w:sz w:val="22"/>
          <w:szCs w:val="22"/>
        </w:rPr>
        <w:t>dpa</w:t>
      </w:r>
      <w:proofErr w:type="spellEnd"/>
      <w:r w:rsidR="00127D0A">
        <w:rPr>
          <w:sz w:val="22"/>
          <w:szCs w:val="22"/>
        </w:rPr>
        <w:t xml:space="preserve"> multiplied by 20 years</w:t>
      </w:r>
      <w:r w:rsidRPr="00C4462E">
        <w:rPr>
          <w:sz w:val="22"/>
          <w:szCs w:val="22"/>
        </w:rPr>
        <w:t xml:space="preserve">. </w:t>
      </w:r>
      <w:r w:rsidR="00E97769">
        <w:rPr>
          <w:sz w:val="22"/>
          <w:szCs w:val="22"/>
        </w:rPr>
        <w:t>This is the key focus of the questions at this consultation stage.</w:t>
      </w:r>
      <w:r w:rsidRPr="00C4462E">
        <w:rPr>
          <w:sz w:val="22"/>
          <w:szCs w:val="22"/>
        </w:rPr>
        <w:t xml:space="preserve"> </w:t>
      </w:r>
    </w:p>
    <w:p w14:paraId="456C45C1" w14:textId="77777777" w:rsidR="00BE73CA" w:rsidRPr="00C4462E" w:rsidRDefault="00BE73CA" w:rsidP="00F07B51">
      <w:pPr>
        <w:jc w:val="both"/>
        <w:rPr>
          <w:sz w:val="22"/>
          <w:szCs w:val="22"/>
        </w:rPr>
      </w:pPr>
    </w:p>
    <w:p w14:paraId="15744D62" w14:textId="29C95350" w:rsidR="005F5D4A" w:rsidRPr="00C4462E" w:rsidRDefault="005F5D4A" w:rsidP="00F07B51">
      <w:pPr>
        <w:jc w:val="both"/>
        <w:rPr>
          <w:sz w:val="22"/>
          <w:szCs w:val="22"/>
        </w:rPr>
      </w:pPr>
    </w:p>
    <w:p w14:paraId="2B8DEC12" w14:textId="21A57C96" w:rsidR="005F5D4A" w:rsidRPr="00C4462E" w:rsidRDefault="00BA12DB" w:rsidP="00F07B51">
      <w:pPr>
        <w:jc w:val="both"/>
        <w:rPr>
          <w:b/>
          <w:bCs/>
          <w:sz w:val="22"/>
          <w:szCs w:val="22"/>
        </w:rPr>
      </w:pPr>
      <w:r w:rsidRPr="00C4462E">
        <w:rPr>
          <w:b/>
          <w:bCs/>
          <w:sz w:val="22"/>
          <w:szCs w:val="22"/>
        </w:rPr>
        <w:t>Housing Need Scenarios</w:t>
      </w:r>
      <w:r w:rsidR="00230FFB" w:rsidRPr="00C4462E">
        <w:rPr>
          <w:b/>
          <w:bCs/>
          <w:sz w:val="22"/>
          <w:szCs w:val="22"/>
        </w:rPr>
        <w:t xml:space="preserve"> Across Oxfordshire</w:t>
      </w:r>
    </w:p>
    <w:p w14:paraId="6C0FB7B7" w14:textId="77777777" w:rsidR="00B24FBF" w:rsidRPr="00C4462E" w:rsidRDefault="00B24FBF" w:rsidP="00F07B51">
      <w:pPr>
        <w:jc w:val="both"/>
        <w:rPr>
          <w:b/>
          <w:bCs/>
          <w:sz w:val="22"/>
          <w:szCs w:val="22"/>
        </w:rPr>
      </w:pPr>
    </w:p>
    <w:p w14:paraId="5950AE43" w14:textId="77777777" w:rsidR="008D1413" w:rsidRPr="00C4462E" w:rsidRDefault="008D1413" w:rsidP="00F07B51">
      <w:pPr>
        <w:autoSpaceDE w:val="0"/>
        <w:autoSpaceDN w:val="0"/>
        <w:adjustRightInd w:val="0"/>
        <w:jc w:val="both"/>
        <w:rPr>
          <w:sz w:val="22"/>
          <w:szCs w:val="22"/>
        </w:rPr>
      </w:pPr>
      <w:r w:rsidRPr="00C4462E">
        <w:rPr>
          <w:b/>
          <w:bCs/>
          <w:sz w:val="22"/>
          <w:szCs w:val="22"/>
        </w:rPr>
        <w:t>Q1</w:t>
      </w:r>
      <w:r w:rsidRPr="00C4462E">
        <w:rPr>
          <w:sz w:val="22"/>
          <w:szCs w:val="22"/>
        </w:rPr>
        <w:t xml:space="preserve">-Are there other ways of identifying housing need that should have been considered? </w:t>
      </w:r>
    </w:p>
    <w:p w14:paraId="073A3023" w14:textId="77777777" w:rsidR="008D1413" w:rsidRPr="00C4462E" w:rsidRDefault="008D1413" w:rsidP="00F07B51">
      <w:pPr>
        <w:autoSpaceDE w:val="0"/>
        <w:autoSpaceDN w:val="0"/>
        <w:adjustRightInd w:val="0"/>
        <w:jc w:val="both"/>
        <w:rPr>
          <w:sz w:val="22"/>
          <w:szCs w:val="22"/>
        </w:rPr>
      </w:pPr>
      <w:r w:rsidRPr="00C4462E">
        <w:rPr>
          <w:b/>
          <w:bCs/>
          <w:sz w:val="22"/>
          <w:szCs w:val="22"/>
        </w:rPr>
        <w:t>Q2</w:t>
      </w:r>
      <w:r w:rsidRPr="00C4462E">
        <w:rPr>
          <w:sz w:val="22"/>
          <w:szCs w:val="22"/>
        </w:rPr>
        <w:t xml:space="preserve">-Do you have any comments on the methodologies used in the HENA? </w:t>
      </w:r>
    </w:p>
    <w:p w14:paraId="332BC7A4" w14:textId="68963C4D" w:rsidR="00DA5B1E" w:rsidRPr="00C4462E" w:rsidRDefault="008D1413" w:rsidP="00F07B51">
      <w:pPr>
        <w:jc w:val="both"/>
        <w:rPr>
          <w:sz w:val="22"/>
          <w:szCs w:val="22"/>
        </w:rPr>
      </w:pPr>
      <w:r w:rsidRPr="00C4462E">
        <w:rPr>
          <w:b/>
          <w:bCs/>
          <w:sz w:val="22"/>
          <w:szCs w:val="22"/>
        </w:rPr>
        <w:t>Q3</w:t>
      </w:r>
      <w:r w:rsidRPr="00C4462E">
        <w:rPr>
          <w:sz w:val="22"/>
          <w:szCs w:val="22"/>
        </w:rPr>
        <w:t>-Do you have any other comments on the Scenarios?</w:t>
      </w:r>
    </w:p>
    <w:p w14:paraId="5F038456" w14:textId="77777777" w:rsidR="00230FFB" w:rsidRPr="00C4462E" w:rsidRDefault="00230FFB" w:rsidP="00230FFB">
      <w:pPr>
        <w:jc w:val="both"/>
        <w:rPr>
          <w:sz w:val="22"/>
          <w:szCs w:val="22"/>
        </w:rPr>
      </w:pPr>
      <w:r w:rsidRPr="00C4462E">
        <w:rPr>
          <w:b/>
          <w:bCs/>
          <w:sz w:val="22"/>
          <w:szCs w:val="22"/>
        </w:rPr>
        <w:t>Q4</w:t>
      </w:r>
      <w:r w:rsidRPr="00C4462E">
        <w:rPr>
          <w:sz w:val="22"/>
          <w:szCs w:val="22"/>
        </w:rPr>
        <w:t xml:space="preserve">-Do you have any comments about the reasoning for selecting the most appropriate scenario of housing need? </w:t>
      </w:r>
    </w:p>
    <w:p w14:paraId="75367AF4" w14:textId="4617D3DB" w:rsidR="008D1413" w:rsidRPr="00C4462E" w:rsidRDefault="008D1413" w:rsidP="00F07B51">
      <w:pPr>
        <w:jc w:val="both"/>
        <w:rPr>
          <w:sz w:val="22"/>
          <w:szCs w:val="22"/>
        </w:rPr>
      </w:pPr>
    </w:p>
    <w:p w14:paraId="24992F6C" w14:textId="7814903F" w:rsidR="00CC2E18" w:rsidRPr="00C4462E" w:rsidRDefault="008D1413" w:rsidP="00587BC8">
      <w:pPr>
        <w:pStyle w:val="ListParagraph"/>
        <w:numPr>
          <w:ilvl w:val="0"/>
          <w:numId w:val="32"/>
        </w:numPr>
        <w:jc w:val="both"/>
        <w:rPr>
          <w:sz w:val="22"/>
          <w:szCs w:val="22"/>
        </w:rPr>
      </w:pPr>
      <w:r w:rsidRPr="00C4462E">
        <w:rPr>
          <w:sz w:val="22"/>
          <w:szCs w:val="22"/>
        </w:rPr>
        <w:t xml:space="preserve">The consultation document identifies that the NPPF requires a local housing needs assessment which should be conducted using the government’s </w:t>
      </w:r>
      <w:r w:rsidR="00230FFB" w:rsidRPr="00C4462E">
        <w:rPr>
          <w:sz w:val="22"/>
          <w:szCs w:val="22"/>
        </w:rPr>
        <w:t>S</w:t>
      </w:r>
      <w:r w:rsidRPr="00C4462E">
        <w:rPr>
          <w:sz w:val="22"/>
          <w:szCs w:val="22"/>
        </w:rPr>
        <w:t xml:space="preserve">tandard </w:t>
      </w:r>
      <w:r w:rsidR="00230FFB" w:rsidRPr="00C4462E">
        <w:rPr>
          <w:sz w:val="22"/>
          <w:szCs w:val="22"/>
        </w:rPr>
        <w:t>M</w:t>
      </w:r>
      <w:r w:rsidRPr="00C4462E">
        <w:rPr>
          <w:sz w:val="22"/>
          <w:szCs w:val="22"/>
        </w:rPr>
        <w:t xml:space="preserve">ethod unless exceptional circumstances justify an alternative approach.  </w:t>
      </w:r>
    </w:p>
    <w:p w14:paraId="655CB7A0" w14:textId="77777777" w:rsidR="00230FFB" w:rsidRPr="00C4462E" w:rsidRDefault="00230FFB" w:rsidP="00230FFB">
      <w:pPr>
        <w:pStyle w:val="ListParagraph"/>
        <w:ind w:left="360"/>
        <w:jc w:val="both"/>
        <w:rPr>
          <w:sz w:val="22"/>
          <w:szCs w:val="22"/>
        </w:rPr>
      </w:pPr>
    </w:p>
    <w:p w14:paraId="7856EFB5" w14:textId="5C4ACD63" w:rsidR="008D1413" w:rsidRPr="00C4462E" w:rsidRDefault="008D1413" w:rsidP="00F07B51">
      <w:pPr>
        <w:pStyle w:val="ListParagraph"/>
        <w:numPr>
          <w:ilvl w:val="0"/>
          <w:numId w:val="32"/>
        </w:numPr>
        <w:jc w:val="both"/>
        <w:rPr>
          <w:sz w:val="22"/>
          <w:szCs w:val="22"/>
        </w:rPr>
      </w:pPr>
      <w:r w:rsidRPr="00C4462E">
        <w:rPr>
          <w:sz w:val="22"/>
          <w:szCs w:val="22"/>
        </w:rPr>
        <w:t>The Standard Method is one of four scenarios explored in the HENA.  The second is a Census-adjusted Standard Method, the third a Cambridge Econometrics baseline trend</w:t>
      </w:r>
      <w:r w:rsidR="00CC2E18" w:rsidRPr="00C4462E">
        <w:rPr>
          <w:sz w:val="22"/>
          <w:szCs w:val="22"/>
        </w:rPr>
        <w:t xml:space="preserve"> scenario</w:t>
      </w:r>
      <w:r w:rsidRPr="00C4462E">
        <w:rPr>
          <w:sz w:val="22"/>
          <w:szCs w:val="22"/>
        </w:rPr>
        <w:t xml:space="preserve">, and the fourth an </w:t>
      </w:r>
      <w:r w:rsidR="005D2A12" w:rsidRPr="00C4462E">
        <w:rPr>
          <w:sz w:val="22"/>
          <w:szCs w:val="22"/>
        </w:rPr>
        <w:t>E</w:t>
      </w:r>
      <w:r w:rsidRPr="00C4462E">
        <w:rPr>
          <w:sz w:val="22"/>
          <w:szCs w:val="22"/>
        </w:rPr>
        <w:t xml:space="preserve">conomic </w:t>
      </w:r>
      <w:r w:rsidR="005D2A12" w:rsidRPr="00C4462E">
        <w:rPr>
          <w:sz w:val="22"/>
          <w:szCs w:val="22"/>
        </w:rPr>
        <w:t>D</w:t>
      </w:r>
      <w:r w:rsidRPr="00C4462E">
        <w:rPr>
          <w:sz w:val="22"/>
          <w:szCs w:val="22"/>
        </w:rPr>
        <w:t>evelopment-led</w:t>
      </w:r>
      <w:r w:rsidR="00CC2E18" w:rsidRPr="00C4462E">
        <w:rPr>
          <w:sz w:val="22"/>
          <w:szCs w:val="22"/>
        </w:rPr>
        <w:t xml:space="preserve"> scenario. Of these, the Standard Method shows the lowest need</w:t>
      </w:r>
      <w:r w:rsidR="00295505" w:rsidRPr="00C4462E">
        <w:rPr>
          <w:sz w:val="22"/>
          <w:szCs w:val="22"/>
        </w:rPr>
        <w:t xml:space="preserve"> figure</w:t>
      </w:r>
      <w:r w:rsidR="005D2A12" w:rsidRPr="00C4462E">
        <w:rPr>
          <w:sz w:val="22"/>
          <w:szCs w:val="22"/>
        </w:rPr>
        <w:t xml:space="preserve"> for the whole of Oxfordshire</w:t>
      </w:r>
      <w:r w:rsidR="00CC2E18" w:rsidRPr="00C4462E">
        <w:rPr>
          <w:sz w:val="22"/>
          <w:szCs w:val="22"/>
        </w:rPr>
        <w:t xml:space="preserve">; the two in the middle are similar at </w:t>
      </w:r>
      <w:r w:rsidR="00BF4639" w:rsidRPr="00C4462E">
        <w:rPr>
          <w:sz w:val="22"/>
          <w:szCs w:val="22"/>
        </w:rPr>
        <w:t>30% to</w:t>
      </w:r>
      <w:r w:rsidR="00CC2E18" w:rsidRPr="00C4462E">
        <w:rPr>
          <w:sz w:val="22"/>
          <w:szCs w:val="22"/>
        </w:rPr>
        <w:t xml:space="preserve"> 40% higher; and the last is about 70% higher.</w:t>
      </w:r>
      <w:r w:rsidR="00BF4639" w:rsidRPr="00C4462E">
        <w:rPr>
          <w:sz w:val="22"/>
          <w:szCs w:val="22"/>
        </w:rPr>
        <w:t xml:space="preserve"> We have collated the figures </w:t>
      </w:r>
      <w:r w:rsidR="0094216B" w:rsidRPr="00C4462E">
        <w:rPr>
          <w:sz w:val="22"/>
          <w:szCs w:val="22"/>
        </w:rPr>
        <w:t>and compared them in</w:t>
      </w:r>
      <w:r w:rsidR="00BF4639" w:rsidRPr="00C4462E">
        <w:rPr>
          <w:sz w:val="22"/>
          <w:szCs w:val="22"/>
        </w:rPr>
        <w:t xml:space="preserve"> Table 1 below:</w:t>
      </w:r>
    </w:p>
    <w:p w14:paraId="25CB8A0C" w14:textId="77777777" w:rsidR="00BF4639" w:rsidRPr="00C4462E" w:rsidRDefault="00BF4639" w:rsidP="00BF4639">
      <w:pPr>
        <w:pStyle w:val="ListParagraph"/>
        <w:rPr>
          <w:sz w:val="22"/>
          <w:szCs w:val="22"/>
        </w:rPr>
      </w:pPr>
    </w:p>
    <w:p w14:paraId="58BD531A" w14:textId="2066EE61" w:rsidR="00BF4639" w:rsidRPr="00C4462E" w:rsidRDefault="00BF4639" w:rsidP="009D47DF">
      <w:pPr>
        <w:pStyle w:val="ListParagraph"/>
        <w:ind w:left="360"/>
        <w:rPr>
          <w:sz w:val="22"/>
          <w:szCs w:val="22"/>
        </w:rPr>
      </w:pPr>
      <w:r w:rsidRPr="00C4462E">
        <w:rPr>
          <w:sz w:val="22"/>
          <w:szCs w:val="22"/>
        </w:rPr>
        <w:t>Table 1 – Oxfordshire Housing Need Figures</w:t>
      </w:r>
    </w:p>
    <w:tbl>
      <w:tblPr>
        <w:tblStyle w:val="TableGrid"/>
        <w:tblW w:w="0" w:type="auto"/>
        <w:tblInd w:w="534" w:type="dxa"/>
        <w:tblLook w:val="04A0" w:firstRow="1" w:lastRow="0" w:firstColumn="1" w:lastColumn="0" w:noHBand="0" w:noVBand="1"/>
      </w:tblPr>
      <w:tblGrid>
        <w:gridCol w:w="3118"/>
        <w:gridCol w:w="1985"/>
        <w:gridCol w:w="1984"/>
        <w:gridCol w:w="1621"/>
      </w:tblGrid>
      <w:tr w:rsidR="00C4462E" w:rsidRPr="00C4462E" w14:paraId="25A9D266" w14:textId="750E0382" w:rsidTr="00BF4639">
        <w:tc>
          <w:tcPr>
            <w:tcW w:w="3118" w:type="dxa"/>
          </w:tcPr>
          <w:p w14:paraId="0D946442" w14:textId="77777777" w:rsidR="00BF4639" w:rsidRPr="00C4462E" w:rsidRDefault="00BF4639" w:rsidP="00BF4639">
            <w:pPr>
              <w:rPr>
                <w:sz w:val="22"/>
                <w:szCs w:val="22"/>
              </w:rPr>
            </w:pPr>
          </w:p>
        </w:tc>
        <w:tc>
          <w:tcPr>
            <w:tcW w:w="1985" w:type="dxa"/>
          </w:tcPr>
          <w:p w14:paraId="10D6F98B" w14:textId="181BEDB1" w:rsidR="00BF4639" w:rsidRPr="00C4462E" w:rsidRDefault="00BF4639" w:rsidP="00BF4639">
            <w:pPr>
              <w:rPr>
                <w:sz w:val="22"/>
                <w:szCs w:val="22"/>
              </w:rPr>
            </w:pPr>
            <w:r w:rsidRPr="00C4462E">
              <w:rPr>
                <w:sz w:val="22"/>
                <w:szCs w:val="22"/>
              </w:rPr>
              <w:t>Dwellings per annum</w:t>
            </w:r>
          </w:p>
        </w:tc>
        <w:tc>
          <w:tcPr>
            <w:tcW w:w="1984" w:type="dxa"/>
          </w:tcPr>
          <w:p w14:paraId="222FFA80" w14:textId="1FDDDD85" w:rsidR="00BF4639" w:rsidRPr="00C4462E" w:rsidRDefault="00BF4639" w:rsidP="00BF4639">
            <w:pPr>
              <w:rPr>
                <w:sz w:val="22"/>
                <w:szCs w:val="22"/>
              </w:rPr>
            </w:pPr>
            <w:r w:rsidRPr="00C4462E">
              <w:rPr>
                <w:sz w:val="22"/>
                <w:szCs w:val="22"/>
              </w:rPr>
              <w:t>2020-2040 total (</w:t>
            </w:r>
            <w:proofErr w:type="spellStart"/>
            <w:r w:rsidRPr="00C4462E">
              <w:rPr>
                <w:sz w:val="22"/>
                <w:szCs w:val="22"/>
              </w:rPr>
              <w:t>dpa</w:t>
            </w:r>
            <w:proofErr w:type="spellEnd"/>
            <w:r w:rsidRPr="00C4462E">
              <w:rPr>
                <w:sz w:val="22"/>
                <w:szCs w:val="22"/>
              </w:rPr>
              <w:t xml:space="preserve"> x 20</w:t>
            </w:r>
            <w:r w:rsidR="00A70A46">
              <w:rPr>
                <w:sz w:val="22"/>
                <w:szCs w:val="22"/>
              </w:rPr>
              <w:t xml:space="preserve"> years</w:t>
            </w:r>
            <w:r w:rsidRPr="00C4462E">
              <w:rPr>
                <w:sz w:val="22"/>
                <w:szCs w:val="22"/>
              </w:rPr>
              <w:t>)</w:t>
            </w:r>
          </w:p>
        </w:tc>
        <w:tc>
          <w:tcPr>
            <w:tcW w:w="1621" w:type="dxa"/>
          </w:tcPr>
          <w:p w14:paraId="35A97FEC" w14:textId="289AC1E8" w:rsidR="00BF4639" w:rsidRPr="00C4462E" w:rsidRDefault="00BF4639" w:rsidP="00BF4639">
            <w:pPr>
              <w:rPr>
                <w:sz w:val="22"/>
                <w:szCs w:val="22"/>
              </w:rPr>
            </w:pPr>
            <w:r w:rsidRPr="00C4462E">
              <w:rPr>
                <w:sz w:val="22"/>
                <w:szCs w:val="22"/>
              </w:rPr>
              <w:t>Comparison</w:t>
            </w:r>
          </w:p>
        </w:tc>
      </w:tr>
      <w:tr w:rsidR="00C4462E" w:rsidRPr="00C4462E" w14:paraId="16A2437C" w14:textId="429D5794" w:rsidTr="00BF4639">
        <w:tc>
          <w:tcPr>
            <w:tcW w:w="3118" w:type="dxa"/>
          </w:tcPr>
          <w:p w14:paraId="41B42FC1" w14:textId="77777777" w:rsidR="00BF4639" w:rsidRPr="00C4462E" w:rsidRDefault="00BF4639" w:rsidP="00BF4639">
            <w:pPr>
              <w:rPr>
                <w:sz w:val="22"/>
                <w:szCs w:val="22"/>
              </w:rPr>
            </w:pPr>
            <w:r w:rsidRPr="00C4462E">
              <w:rPr>
                <w:sz w:val="22"/>
                <w:szCs w:val="22"/>
              </w:rPr>
              <w:t>Standard Method</w:t>
            </w:r>
          </w:p>
          <w:p w14:paraId="7EF95AFB" w14:textId="4FD1E111" w:rsidR="00BF4639" w:rsidRPr="00C4462E" w:rsidRDefault="00BF4639" w:rsidP="00BF4639">
            <w:pPr>
              <w:rPr>
                <w:sz w:val="22"/>
                <w:szCs w:val="22"/>
              </w:rPr>
            </w:pPr>
          </w:p>
        </w:tc>
        <w:tc>
          <w:tcPr>
            <w:tcW w:w="1985" w:type="dxa"/>
          </w:tcPr>
          <w:p w14:paraId="3F245DC6" w14:textId="09B6FE77" w:rsidR="00BF4639" w:rsidRPr="00C4462E" w:rsidRDefault="00BF4639" w:rsidP="00BF4639">
            <w:pPr>
              <w:rPr>
                <w:sz w:val="22"/>
                <w:szCs w:val="22"/>
              </w:rPr>
            </w:pPr>
            <w:r w:rsidRPr="00C4462E">
              <w:rPr>
                <w:sz w:val="22"/>
                <w:szCs w:val="22"/>
              </w:rPr>
              <w:t>3,388</w:t>
            </w:r>
          </w:p>
        </w:tc>
        <w:tc>
          <w:tcPr>
            <w:tcW w:w="1984" w:type="dxa"/>
          </w:tcPr>
          <w:p w14:paraId="712E41E1" w14:textId="26A558DF" w:rsidR="00BF4639" w:rsidRPr="00C4462E" w:rsidRDefault="00BF4639" w:rsidP="00BF4639">
            <w:pPr>
              <w:rPr>
                <w:sz w:val="22"/>
                <w:szCs w:val="22"/>
              </w:rPr>
            </w:pPr>
            <w:r w:rsidRPr="00C4462E">
              <w:rPr>
                <w:sz w:val="22"/>
                <w:szCs w:val="22"/>
              </w:rPr>
              <w:t>67,760</w:t>
            </w:r>
          </w:p>
        </w:tc>
        <w:tc>
          <w:tcPr>
            <w:tcW w:w="1621" w:type="dxa"/>
          </w:tcPr>
          <w:p w14:paraId="29359040" w14:textId="51C78BB4" w:rsidR="00BF4639" w:rsidRPr="00C4462E" w:rsidRDefault="00BF4639" w:rsidP="00BF4639">
            <w:pPr>
              <w:rPr>
                <w:sz w:val="22"/>
                <w:szCs w:val="22"/>
              </w:rPr>
            </w:pPr>
            <w:r w:rsidRPr="00C4462E">
              <w:rPr>
                <w:sz w:val="22"/>
                <w:szCs w:val="22"/>
              </w:rPr>
              <w:t>100%</w:t>
            </w:r>
          </w:p>
        </w:tc>
      </w:tr>
      <w:tr w:rsidR="00C4462E" w:rsidRPr="00C4462E" w14:paraId="17DD39E2" w14:textId="06EBA5AB" w:rsidTr="00BF4639">
        <w:tc>
          <w:tcPr>
            <w:tcW w:w="3118" w:type="dxa"/>
          </w:tcPr>
          <w:p w14:paraId="6A03B181" w14:textId="4FAC6EF8" w:rsidR="00BF4639" w:rsidRPr="00C4462E" w:rsidRDefault="00BF4639" w:rsidP="00BF4639">
            <w:pPr>
              <w:rPr>
                <w:sz w:val="22"/>
                <w:szCs w:val="22"/>
              </w:rPr>
            </w:pPr>
            <w:r w:rsidRPr="00C4462E">
              <w:rPr>
                <w:sz w:val="22"/>
                <w:szCs w:val="22"/>
              </w:rPr>
              <w:t>Census-adjusted Standard Method</w:t>
            </w:r>
          </w:p>
        </w:tc>
        <w:tc>
          <w:tcPr>
            <w:tcW w:w="1985" w:type="dxa"/>
          </w:tcPr>
          <w:p w14:paraId="2ABD8A51" w14:textId="7A018142" w:rsidR="00BF4639" w:rsidRPr="00C4462E" w:rsidRDefault="00BF4639" w:rsidP="00BF4639">
            <w:pPr>
              <w:rPr>
                <w:sz w:val="22"/>
                <w:szCs w:val="22"/>
              </w:rPr>
            </w:pPr>
            <w:r w:rsidRPr="00C4462E">
              <w:rPr>
                <w:sz w:val="22"/>
                <w:szCs w:val="22"/>
              </w:rPr>
              <w:t>4,721</w:t>
            </w:r>
          </w:p>
        </w:tc>
        <w:tc>
          <w:tcPr>
            <w:tcW w:w="1984" w:type="dxa"/>
          </w:tcPr>
          <w:p w14:paraId="447000D8" w14:textId="21E1D00C" w:rsidR="00BF4639" w:rsidRPr="00C4462E" w:rsidRDefault="00BF4639" w:rsidP="00BF4639">
            <w:pPr>
              <w:rPr>
                <w:sz w:val="22"/>
                <w:szCs w:val="22"/>
              </w:rPr>
            </w:pPr>
            <w:r w:rsidRPr="00C4462E">
              <w:rPr>
                <w:sz w:val="22"/>
                <w:szCs w:val="22"/>
              </w:rPr>
              <w:t>94,420</w:t>
            </w:r>
          </w:p>
        </w:tc>
        <w:tc>
          <w:tcPr>
            <w:tcW w:w="1621" w:type="dxa"/>
          </w:tcPr>
          <w:p w14:paraId="193F505D" w14:textId="687AD109" w:rsidR="00BF4639" w:rsidRPr="00C4462E" w:rsidRDefault="00BF4639" w:rsidP="00BF4639">
            <w:pPr>
              <w:rPr>
                <w:sz w:val="22"/>
                <w:szCs w:val="22"/>
              </w:rPr>
            </w:pPr>
            <w:r w:rsidRPr="00C4462E">
              <w:rPr>
                <w:sz w:val="22"/>
                <w:szCs w:val="22"/>
              </w:rPr>
              <w:t>140%</w:t>
            </w:r>
          </w:p>
        </w:tc>
      </w:tr>
      <w:tr w:rsidR="00C4462E" w:rsidRPr="00C4462E" w14:paraId="4228BB05" w14:textId="2CFABEF4" w:rsidTr="00BF4639">
        <w:tc>
          <w:tcPr>
            <w:tcW w:w="3118" w:type="dxa"/>
          </w:tcPr>
          <w:p w14:paraId="1D025DA8" w14:textId="4CA2F6A9" w:rsidR="00BF4639" w:rsidRPr="00C4462E" w:rsidRDefault="00BF4639" w:rsidP="00BF4639">
            <w:pPr>
              <w:rPr>
                <w:sz w:val="22"/>
                <w:szCs w:val="22"/>
              </w:rPr>
            </w:pPr>
            <w:r w:rsidRPr="00C4462E">
              <w:rPr>
                <w:sz w:val="22"/>
                <w:szCs w:val="22"/>
              </w:rPr>
              <w:t>Cambridge Econometrics baseline trend</w:t>
            </w:r>
          </w:p>
        </w:tc>
        <w:tc>
          <w:tcPr>
            <w:tcW w:w="1985" w:type="dxa"/>
          </w:tcPr>
          <w:p w14:paraId="7ECFC59A" w14:textId="6B69E7E7" w:rsidR="00BF4639" w:rsidRPr="00C4462E" w:rsidRDefault="00BF4639" w:rsidP="00BF4639">
            <w:pPr>
              <w:rPr>
                <w:sz w:val="22"/>
                <w:szCs w:val="22"/>
              </w:rPr>
            </w:pPr>
            <w:r w:rsidRPr="00C4462E">
              <w:rPr>
                <w:sz w:val="22"/>
                <w:szCs w:val="22"/>
              </w:rPr>
              <w:t>4,406</w:t>
            </w:r>
          </w:p>
        </w:tc>
        <w:tc>
          <w:tcPr>
            <w:tcW w:w="1984" w:type="dxa"/>
          </w:tcPr>
          <w:p w14:paraId="03DCA168" w14:textId="0E8DBF43" w:rsidR="00BF4639" w:rsidRPr="00C4462E" w:rsidRDefault="00BF4639" w:rsidP="00BF4639">
            <w:pPr>
              <w:rPr>
                <w:sz w:val="22"/>
                <w:szCs w:val="22"/>
              </w:rPr>
            </w:pPr>
            <w:r w:rsidRPr="00C4462E">
              <w:rPr>
                <w:sz w:val="22"/>
                <w:szCs w:val="22"/>
              </w:rPr>
              <w:t>88,120</w:t>
            </w:r>
          </w:p>
        </w:tc>
        <w:tc>
          <w:tcPr>
            <w:tcW w:w="1621" w:type="dxa"/>
          </w:tcPr>
          <w:p w14:paraId="2A7C4ED7" w14:textId="190B6B94" w:rsidR="00BF4639" w:rsidRPr="00C4462E" w:rsidRDefault="00BF4639" w:rsidP="00BF4639">
            <w:pPr>
              <w:rPr>
                <w:sz w:val="22"/>
                <w:szCs w:val="22"/>
              </w:rPr>
            </w:pPr>
            <w:r w:rsidRPr="00C4462E">
              <w:rPr>
                <w:sz w:val="22"/>
                <w:szCs w:val="22"/>
              </w:rPr>
              <w:t>130%</w:t>
            </w:r>
          </w:p>
        </w:tc>
      </w:tr>
      <w:tr w:rsidR="00BF4639" w:rsidRPr="00C4462E" w14:paraId="42648762" w14:textId="7DE94A6B" w:rsidTr="00BF4639">
        <w:tc>
          <w:tcPr>
            <w:tcW w:w="3118" w:type="dxa"/>
          </w:tcPr>
          <w:p w14:paraId="58DC506D" w14:textId="77777777" w:rsidR="00BF4639" w:rsidRPr="00C4462E" w:rsidRDefault="00BF4639" w:rsidP="00BF4639">
            <w:pPr>
              <w:rPr>
                <w:sz w:val="22"/>
                <w:szCs w:val="22"/>
              </w:rPr>
            </w:pPr>
            <w:r w:rsidRPr="00C4462E">
              <w:rPr>
                <w:sz w:val="22"/>
                <w:szCs w:val="22"/>
              </w:rPr>
              <w:t>Economic Development-led</w:t>
            </w:r>
          </w:p>
          <w:p w14:paraId="2F9B770C" w14:textId="3898CC24" w:rsidR="00BF4639" w:rsidRPr="00C4462E" w:rsidRDefault="00BF4639" w:rsidP="00BF4639">
            <w:pPr>
              <w:rPr>
                <w:sz w:val="22"/>
                <w:szCs w:val="22"/>
              </w:rPr>
            </w:pPr>
          </w:p>
        </w:tc>
        <w:tc>
          <w:tcPr>
            <w:tcW w:w="1985" w:type="dxa"/>
          </w:tcPr>
          <w:p w14:paraId="7A32E517" w14:textId="5AE91DE8" w:rsidR="00BF4639" w:rsidRPr="00C4462E" w:rsidRDefault="00BF4639" w:rsidP="00BF4639">
            <w:pPr>
              <w:rPr>
                <w:sz w:val="22"/>
                <w:szCs w:val="22"/>
              </w:rPr>
            </w:pPr>
            <w:r w:rsidRPr="00C4462E">
              <w:rPr>
                <w:sz w:val="22"/>
                <w:szCs w:val="22"/>
              </w:rPr>
              <w:t>5,830</w:t>
            </w:r>
          </w:p>
        </w:tc>
        <w:tc>
          <w:tcPr>
            <w:tcW w:w="1984" w:type="dxa"/>
          </w:tcPr>
          <w:p w14:paraId="0D8BAC7A" w14:textId="4B32BCB4" w:rsidR="00BF4639" w:rsidRPr="00C4462E" w:rsidRDefault="00BF4639" w:rsidP="00BF4639">
            <w:pPr>
              <w:rPr>
                <w:sz w:val="22"/>
                <w:szCs w:val="22"/>
              </w:rPr>
            </w:pPr>
            <w:r w:rsidRPr="00C4462E">
              <w:rPr>
                <w:sz w:val="22"/>
                <w:szCs w:val="22"/>
              </w:rPr>
              <w:t>116,600</w:t>
            </w:r>
          </w:p>
        </w:tc>
        <w:tc>
          <w:tcPr>
            <w:tcW w:w="1621" w:type="dxa"/>
          </w:tcPr>
          <w:p w14:paraId="79D8F389" w14:textId="7F0C02BA" w:rsidR="00BF4639" w:rsidRPr="00C4462E" w:rsidRDefault="00BF4639" w:rsidP="00BF4639">
            <w:pPr>
              <w:rPr>
                <w:sz w:val="22"/>
                <w:szCs w:val="22"/>
              </w:rPr>
            </w:pPr>
            <w:r w:rsidRPr="00C4462E">
              <w:rPr>
                <w:sz w:val="22"/>
                <w:szCs w:val="22"/>
              </w:rPr>
              <w:t>172%</w:t>
            </w:r>
          </w:p>
        </w:tc>
      </w:tr>
    </w:tbl>
    <w:p w14:paraId="15B19567" w14:textId="77777777" w:rsidR="00BF4639" w:rsidRPr="00C4462E" w:rsidRDefault="00BF4639" w:rsidP="00BF4639">
      <w:pPr>
        <w:rPr>
          <w:sz w:val="22"/>
          <w:szCs w:val="22"/>
        </w:rPr>
      </w:pPr>
    </w:p>
    <w:p w14:paraId="5F77BDCD" w14:textId="3D91FCD1" w:rsidR="00BF4639" w:rsidRPr="00127D0A" w:rsidRDefault="00B30975" w:rsidP="00127D0A">
      <w:pPr>
        <w:pStyle w:val="ListParagraph"/>
        <w:numPr>
          <w:ilvl w:val="0"/>
          <w:numId w:val="32"/>
        </w:numPr>
        <w:jc w:val="both"/>
        <w:rPr>
          <w:sz w:val="22"/>
          <w:szCs w:val="22"/>
        </w:rPr>
      </w:pPr>
      <w:r w:rsidRPr="00C4462E">
        <w:rPr>
          <w:sz w:val="22"/>
          <w:szCs w:val="22"/>
        </w:rPr>
        <w:t xml:space="preserve">The consultation document explains (para 2.6) that the calculations of housing need are made at an Oxfordshire level because Oxfordshire operates as a Functional Economic Market Area and Housing Market Area.  However, the HENA was commissioned by only two of the Councils in Oxfordshire (Oxford City and Cherwell District) and </w:t>
      </w:r>
      <w:r w:rsidR="00127D0A">
        <w:rPr>
          <w:sz w:val="22"/>
          <w:szCs w:val="22"/>
        </w:rPr>
        <w:t>a</w:t>
      </w:r>
      <w:r w:rsidRPr="00C4462E">
        <w:rPr>
          <w:sz w:val="22"/>
          <w:szCs w:val="22"/>
        </w:rPr>
        <w:t xml:space="preserve">lthough all the Councils have historically worked together cooperatively, with the demise of the Oxfordshire Plan 2050, </w:t>
      </w:r>
      <w:r w:rsidR="0094216B" w:rsidRPr="00C4462E">
        <w:rPr>
          <w:sz w:val="22"/>
          <w:szCs w:val="22"/>
        </w:rPr>
        <w:t>this is not</w:t>
      </w:r>
      <w:r w:rsidRPr="00C4462E">
        <w:rPr>
          <w:sz w:val="22"/>
          <w:szCs w:val="22"/>
        </w:rPr>
        <w:t xml:space="preserve"> an agreed evidence document</w:t>
      </w:r>
      <w:r w:rsidR="0094216B" w:rsidRPr="00C4462E">
        <w:rPr>
          <w:sz w:val="22"/>
          <w:szCs w:val="22"/>
        </w:rPr>
        <w:t xml:space="preserve"> between the relevant authorities</w:t>
      </w:r>
      <w:r w:rsidRPr="00C4462E">
        <w:rPr>
          <w:sz w:val="22"/>
          <w:szCs w:val="22"/>
        </w:rPr>
        <w:t>.</w:t>
      </w:r>
      <w:r w:rsidR="00127D0A">
        <w:rPr>
          <w:sz w:val="22"/>
          <w:szCs w:val="22"/>
        </w:rPr>
        <w:t xml:space="preserve"> </w:t>
      </w:r>
      <w:r w:rsidR="003D7455" w:rsidRPr="00127D0A">
        <w:rPr>
          <w:sz w:val="22"/>
          <w:szCs w:val="22"/>
        </w:rPr>
        <w:t>Ideally</w:t>
      </w:r>
      <w:r w:rsidRPr="00127D0A">
        <w:rPr>
          <w:sz w:val="22"/>
          <w:szCs w:val="22"/>
        </w:rPr>
        <w:t xml:space="preserve"> evidence would be jointly commissioned by all authorities so that methodologies and scenarios could be agreed.</w:t>
      </w:r>
      <w:r w:rsidR="007D03A0" w:rsidRPr="00127D0A">
        <w:rPr>
          <w:sz w:val="22"/>
          <w:szCs w:val="22"/>
        </w:rPr>
        <w:t xml:space="preserve"> </w:t>
      </w:r>
    </w:p>
    <w:p w14:paraId="1E9BC319" w14:textId="3C3CF74E" w:rsidR="00BA12DB" w:rsidRPr="00C4462E" w:rsidRDefault="00BA12DB" w:rsidP="00BA12DB">
      <w:pPr>
        <w:pStyle w:val="ListParagraph"/>
        <w:rPr>
          <w:sz w:val="22"/>
          <w:szCs w:val="22"/>
        </w:rPr>
      </w:pPr>
    </w:p>
    <w:p w14:paraId="248DC389" w14:textId="5E5B5D9D" w:rsidR="003D7455" w:rsidRPr="00C4462E" w:rsidRDefault="003D7455" w:rsidP="00F07B51">
      <w:pPr>
        <w:pStyle w:val="ListParagraph"/>
        <w:numPr>
          <w:ilvl w:val="0"/>
          <w:numId w:val="32"/>
        </w:numPr>
        <w:jc w:val="both"/>
        <w:rPr>
          <w:sz w:val="22"/>
          <w:szCs w:val="22"/>
        </w:rPr>
      </w:pPr>
      <w:r w:rsidRPr="00C4462E">
        <w:rPr>
          <w:sz w:val="22"/>
          <w:szCs w:val="22"/>
        </w:rPr>
        <w:t>The chosen scenari</w:t>
      </w:r>
      <w:r w:rsidR="00BC0EE1" w:rsidRPr="00C4462E">
        <w:rPr>
          <w:sz w:val="22"/>
          <w:szCs w:val="22"/>
        </w:rPr>
        <w:t>o in the consultation document</w:t>
      </w:r>
      <w:r w:rsidRPr="00C4462E">
        <w:rPr>
          <w:sz w:val="22"/>
          <w:szCs w:val="22"/>
        </w:rPr>
        <w:t xml:space="preserve"> is the Cambridge Econometrics baseline trend scenario.  The </w:t>
      </w:r>
      <w:r w:rsidR="00BC0EE1" w:rsidRPr="00C4462E">
        <w:rPr>
          <w:sz w:val="22"/>
          <w:szCs w:val="22"/>
        </w:rPr>
        <w:t>City Council has not chosen</w:t>
      </w:r>
      <w:r w:rsidRPr="00C4462E">
        <w:rPr>
          <w:sz w:val="22"/>
          <w:szCs w:val="22"/>
        </w:rPr>
        <w:t xml:space="preserve"> the lowest Standard Method scenario </w:t>
      </w:r>
      <w:r w:rsidR="00BC0EE1" w:rsidRPr="00C4462E">
        <w:rPr>
          <w:sz w:val="22"/>
          <w:szCs w:val="22"/>
        </w:rPr>
        <w:t xml:space="preserve">on the basis that it </w:t>
      </w:r>
      <w:r w:rsidRPr="00C4462E">
        <w:rPr>
          <w:sz w:val="22"/>
          <w:szCs w:val="22"/>
        </w:rPr>
        <w:t>is based on inaccurate 2014 projections</w:t>
      </w:r>
      <w:r w:rsidR="00BC0EE1" w:rsidRPr="00C4462E">
        <w:rPr>
          <w:sz w:val="22"/>
          <w:szCs w:val="22"/>
        </w:rPr>
        <w:t>; nor the</w:t>
      </w:r>
      <w:r w:rsidRPr="00C4462E">
        <w:rPr>
          <w:sz w:val="22"/>
          <w:szCs w:val="22"/>
        </w:rPr>
        <w:t xml:space="preserve"> highest Economic Development scenario</w:t>
      </w:r>
      <w:r w:rsidR="00BC0EE1" w:rsidRPr="00C4462E">
        <w:rPr>
          <w:sz w:val="22"/>
          <w:szCs w:val="22"/>
        </w:rPr>
        <w:t xml:space="preserve"> as it</w:t>
      </w:r>
      <w:r w:rsidRPr="00C4462E">
        <w:rPr>
          <w:sz w:val="22"/>
          <w:szCs w:val="22"/>
        </w:rPr>
        <w:t xml:space="preserve"> involves uncertain levels of development. Out of the two middle scenarios, the Cambridge Econometrics baseline trend scenario is favoured </w:t>
      </w:r>
      <w:r w:rsidR="00BC0EE1" w:rsidRPr="00C4462E">
        <w:rPr>
          <w:sz w:val="22"/>
          <w:szCs w:val="22"/>
        </w:rPr>
        <w:t xml:space="preserve">over the Census-adjusted Standard Method </w:t>
      </w:r>
      <w:r w:rsidRPr="00C4462E">
        <w:rPr>
          <w:sz w:val="22"/>
          <w:szCs w:val="22"/>
        </w:rPr>
        <w:t xml:space="preserve">because the census releases are not complete.  </w:t>
      </w:r>
    </w:p>
    <w:p w14:paraId="592043D1" w14:textId="45D6846A" w:rsidR="003D7455" w:rsidRPr="00C4462E" w:rsidRDefault="003D7455" w:rsidP="00F07B51">
      <w:pPr>
        <w:pStyle w:val="ListParagraph"/>
        <w:ind w:left="360"/>
        <w:jc w:val="both"/>
        <w:rPr>
          <w:sz w:val="22"/>
          <w:szCs w:val="22"/>
        </w:rPr>
      </w:pPr>
    </w:p>
    <w:p w14:paraId="7D517FE2" w14:textId="52101794" w:rsidR="00CC1BCE" w:rsidRPr="00127D0A" w:rsidRDefault="00BC0EE1" w:rsidP="00127D0A">
      <w:pPr>
        <w:pStyle w:val="ListParagraph"/>
        <w:numPr>
          <w:ilvl w:val="0"/>
          <w:numId w:val="32"/>
        </w:numPr>
        <w:jc w:val="both"/>
        <w:rPr>
          <w:sz w:val="22"/>
          <w:szCs w:val="22"/>
        </w:rPr>
      </w:pPr>
      <w:r w:rsidRPr="00C4462E">
        <w:rPr>
          <w:sz w:val="22"/>
          <w:szCs w:val="22"/>
        </w:rPr>
        <w:t xml:space="preserve">Last year, in 2021, an Oxfordshire Growth Needs Assessment </w:t>
      </w:r>
      <w:r w:rsidR="00CC1BCE" w:rsidRPr="00C4462E">
        <w:rPr>
          <w:sz w:val="22"/>
          <w:szCs w:val="22"/>
        </w:rPr>
        <w:t xml:space="preserve">(OGNA) </w:t>
      </w:r>
      <w:r w:rsidRPr="00C4462E">
        <w:rPr>
          <w:sz w:val="22"/>
          <w:szCs w:val="22"/>
        </w:rPr>
        <w:t>was produced</w:t>
      </w:r>
      <w:r w:rsidR="00CC1BCE" w:rsidRPr="00C4462E">
        <w:rPr>
          <w:sz w:val="22"/>
          <w:szCs w:val="22"/>
        </w:rPr>
        <w:t xml:space="preserve"> </w:t>
      </w:r>
      <w:r w:rsidR="00BF6978">
        <w:rPr>
          <w:sz w:val="22"/>
          <w:szCs w:val="22"/>
        </w:rPr>
        <w:t>to help with the production of an Oxfordshire Plan 2050</w:t>
      </w:r>
      <w:r w:rsidR="00501564" w:rsidRPr="00C4462E">
        <w:rPr>
          <w:sz w:val="22"/>
          <w:szCs w:val="22"/>
        </w:rPr>
        <w:t xml:space="preserve"> by the same consultants</w:t>
      </w:r>
      <w:r w:rsidR="00CC1BCE" w:rsidRPr="00C4462E">
        <w:rPr>
          <w:sz w:val="22"/>
          <w:szCs w:val="22"/>
        </w:rPr>
        <w:t xml:space="preserve">.  The three scenarios used at that stage were the Standard Method, ‘Business as Usual’, and ‘Transformational’.  We have collated the figures and compared them in </w:t>
      </w:r>
      <w:r w:rsidR="00760B00">
        <w:rPr>
          <w:sz w:val="22"/>
          <w:szCs w:val="22"/>
        </w:rPr>
        <w:t xml:space="preserve">our </w:t>
      </w:r>
      <w:r w:rsidR="00CC1BCE" w:rsidRPr="00C4462E">
        <w:rPr>
          <w:sz w:val="22"/>
          <w:szCs w:val="22"/>
        </w:rPr>
        <w:t>Table 2</w:t>
      </w:r>
      <w:r w:rsidR="00127D0A">
        <w:rPr>
          <w:sz w:val="22"/>
          <w:szCs w:val="22"/>
        </w:rPr>
        <w:t>.</w:t>
      </w:r>
      <w:r w:rsidR="00127D0A" w:rsidRPr="00127D0A">
        <w:rPr>
          <w:sz w:val="22"/>
          <w:szCs w:val="22"/>
        </w:rPr>
        <w:t xml:space="preserve"> </w:t>
      </w:r>
      <w:r w:rsidR="00127D0A" w:rsidRPr="00C4462E">
        <w:rPr>
          <w:sz w:val="22"/>
          <w:szCs w:val="22"/>
        </w:rPr>
        <w:t xml:space="preserve">The differences noted in Table 2 indicate that </w:t>
      </w:r>
      <w:r w:rsidR="00760B00">
        <w:rPr>
          <w:sz w:val="22"/>
          <w:szCs w:val="22"/>
        </w:rPr>
        <w:t>the HENA is producing higher figures than the OGNA</w:t>
      </w:r>
      <w:r w:rsidR="00127D0A" w:rsidRPr="00C4462E">
        <w:rPr>
          <w:sz w:val="22"/>
          <w:szCs w:val="22"/>
        </w:rPr>
        <w:t xml:space="preserve">.  </w:t>
      </w:r>
      <w:r w:rsidR="00BF6978">
        <w:rPr>
          <w:sz w:val="22"/>
          <w:szCs w:val="22"/>
        </w:rPr>
        <w:t>There was no agreement between the five councils on what</w:t>
      </w:r>
      <w:r w:rsidR="001B3F3A">
        <w:rPr>
          <w:sz w:val="22"/>
          <w:szCs w:val="22"/>
        </w:rPr>
        <w:t xml:space="preserve"> housing</w:t>
      </w:r>
      <w:r w:rsidR="00BF6978">
        <w:rPr>
          <w:sz w:val="22"/>
          <w:szCs w:val="22"/>
        </w:rPr>
        <w:t xml:space="preserve"> scenarios to use for the Oxfordshire Plan 2050</w:t>
      </w:r>
      <w:r w:rsidR="001B3F3A">
        <w:rPr>
          <w:sz w:val="22"/>
          <w:szCs w:val="22"/>
        </w:rPr>
        <w:t xml:space="preserve"> and</w:t>
      </w:r>
      <w:r w:rsidR="00760B00">
        <w:rPr>
          <w:sz w:val="22"/>
          <w:szCs w:val="22"/>
        </w:rPr>
        <w:t xml:space="preserve"> there was a lot of concern voiced by the public </w:t>
      </w:r>
      <w:r w:rsidR="00760B00">
        <w:rPr>
          <w:sz w:val="22"/>
          <w:szCs w:val="22"/>
        </w:rPr>
        <w:lastRenderedPageBreak/>
        <w:t>over high projections</w:t>
      </w:r>
      <w:r w:rsidR="001B3F3A">
        <w:rPr>
          <w:sz w:val="22"/>
          <w:szCs w:val="22"/>
        </w:rPr>
        <w:t>. A</w:t>
      </w:r>
      <w:r w:rsidR="00BF6978">
        <w:rPr>
          <w:sz w:val="22"/>
          <w:szCs w:val="22"/>
        </w:rPr>
        <w:t xml:space="preserve"> decision was made not to proceed with the Oxfordshire Plan 2050</w:t>
      </w:r>
      <w:r w:rsidR="001B3F3A">
        <w:rPr>
          <w:sz w:val="22"/>
          <w:szCs w:val="22"/>
        </w:rPr>
        <w:t xml:space="preserve"> in August 2022</w:t>
      </w:r>
      <w:r w:rsidR="00BF6978">
        <w:rPr>
          <w:sz w:val="22"/>
          <w:szCs w:val="22"/>
        </w:rPr>
        <w:t>.</w:t>
      </w:r>
    </w:p>
    <w:p w14:paraId="1386C94D" w14:textId="77777777" w:rsidR="00CC1BCE" w:rsidRPr="00C4462E" w:rsidRDefault="00CC1BCE" w:rsidP="00CC1BCE">
      <w:pPr>
        <w:pStyle w:val="ListParagraph"/>
        <w:rPr>
          <w:sz w:val="22"/>
          <w:szCs w:val="22"/>
        </w:rPr>
      </w:pPr>
    </w:p>
    <w:p w14:paraId="6F5D3A65" w14:textId="38C49C84" w:rsidR="00CC1BCE" w:rsidRPr="00C4462E" w:rsidRDefault="00CC1BCE" w:rsidP="009D47DF">
      <w:pPr>
        <w:pStyle w:val="ListParagraph"/>
        <w:ind w:left="360"/>
        <w:rPr>
          <w:sz w:val="22"/>
          <w:szCs w:val="22"/>
        </w:rPr>
      </w:pPr>
      <w:r w:rsidRPr="00C4462E">
        <w:rPr>
          <w:sz w:val="22"/>
          <w:szCs w:val="22"/>
        </w:rPr>
        <w:t>Table 2 – 2021 OGNA compared to 2022 HENA</w:t>
      </w:r>
    </w:p>
    <w:tbl>
      <w:tblPr>
        <w:tblStyle w:val="TableGrid"/>
        <w:tblW w:w="0" w:type="auto"/>
        <w:tblInd w:w="534" w:type="dxa"/>
        <w:tblLayout w:type="fixed"/>
        <w:tblLook w:val="04A0" w:firstRow="1" w:lastRow="0" w:firstColumn="1" w:lastColumn="0" w:noHBand="0" w:noVBand="1"/>
      </w:tblPr>
      <w:tblGrid>
        <w:gridCol w:w="1559"/>
        <w:gridCol w:w="1417"/>
        <w:gridCol w:w="1985"/>
        <w:gridCol w:w="1880"/>
        <w:gridCol w:w="1867"/>
      </w:tblGrid>
      <w:tr w:rsidR="00C4462E" w:rsidRPr="00C4462E" w14:paraId="55923C15" w14:textId="128EA74F" w:rsidTr="005105D3">
        <w:tc>
          <w:tcPr>
            <w:tcW w:w="1559" w:type="dxa"/>
          </w:tcPr>
          <w:p w14:paraId="6696236F" w14:textId="29D6A512" w:rsidR="00CC1BCE" w:rsidRPr="00C4462E" w:rsidRDefault="00CC1BCE" w:rsidP="007B0983">
            <w:pPr>
              <w:rPr>
                <w:sz w:val="22"/>
                <w:szCs w:val="22"/>
              </w:rPr>
            </w:pPr>
            <w:r w:rsidRPr="00C4462E">
              <w:rPr>
                <w:sz w:val="22"/>
                <w:szCs w:val="22"/>
              </w:rPr>
              <w:t xml:space="preserve">OGNA </w:t>
            </w:r>
          </w:p>
        </w:tc>
        <w:tc>
          <w:tcPr>
            <w:tcW w:w="1417" w:type="dxa"/>
          </w:tcPr>
          <w:p w14:paraId="3679B74E" w14:textId="77777777" w:rsidR="00CC1BCE" w:rsidRPr="00C4462E" w:rsidRDefault="00CC1BCE" w:rsidP="007B0983">
            <w:pPr>
              <w:rPr>
                <w:sz w:val="22"/>
                <w:szCs w:val="22"/>
              </w:rPr>
            </w:pPr>
            <w:r w:rsidRPr="00C4462E">
              <w:rPr>
                <w:sz w:val="22"/>
                <w:szCs w:val="22"/>
              </w:rPr>
              <w:t xml:space="preserve">Standard Method </w:t>
            </w:r>
          </w:p>
          <w:p w14:paraId="28DA4526" w14:textId="2B3DB2E7" w:rsidR="00CC1BCE" w:rsidRPr="00C4462E" w:rsidRDefault="00CC1BCE" w:rsidP="007B0983">
            <w:pPr>
              <w:rPr>
                <w:sz w:val="22"/>
                <w:szCs w:val="22"/>
              </w:rPr>
            </w:pPr>
            <w:r w:rsidRPr="00C4462E">
              <w:rPr>
                <w:sz w:val="22"/>
                <w:szCs w:val="22"/>
              </w:rPr>
              <w:t>3,386</w:t>
            </w:r>
          </w:p>
        </w:tc>
        <w:tc>
          <w:tcPr>
            <w:tcW w:w="1985" w:type="dxa"/>
          </w:tcPr>
          <w:p w14:paraId="589B84E4" w14:textId="657E0970" w:rsidR="00CC1BCE" w:rsidRPr="00C4462E" w:rsidRDefault="00CC1BCE" w:rsidP="007B0983">
            <w:pPr>
              <w:rPr>
                <w:sz w:val="22"/>
                <w:szCs w:val="22"/>
              </w:rPr>
            </w:pPr>
          </w:p>
        </w:tc>
        <w:tc>
          <w:tcPr>
            <w:tcW w:w="1880" w:type="dxa"/>
          </w:tcPr>
          <w:p w14:paraId="24E08864" w14:textId="77777777" w:rsidR="00CC1BCE" w:rsidRPr="00C4462E" w:rsidRDefault="00CC1BCE" w:rsidP="007B0983">
            <w:pPr>
              <w:rPr>
                <w:sz w:val="22"/>
                <w:szCs w:val="22"/>
              </w:rPr>
            </w:pPr>
            <w:r w:rsidRPr="00C4462E">
              <w:rPr>
                <w:sz w:val="22"/>
                <w:szCs w:val="22"/>
              </w:rPr>
              <w:t>Business as Usual</w:t>
            </w:r>
          </w:p>
          <w:p w14:paraId="6146009C" w14:textId="01C887F2" w:rsidR="00CC1BCE" w:rsidRPr="00C4462E" w:rsidRDefault="00CC1BCE" w:rsidP="007B0983">
            <w:pPr>
              <w:rPr>
                <w:sz w:val="22"/>
                <w:szCs w:val="22"/>
              </w:rPr>
            </w:pPr>
            <w:r w:rsidRPr="00C4462E">
              <w:rPr>
                <w:sz w:val="22"/>
                <w:szCs w:val="22"/>
              </w:rPr>
              <w:t>4,113</w:t>
            </w:r>
          </w:p>
        </w:tc>
        <w:tc>
          <w:tcPr>
            <w:tcW w:w="1867" w:type="dxa"/>
          </w:tcPr>
          <w:p w14:paraId="258AD837" w14:textId="77777777" w:rsidR="00CC1BCE" w:rsidRPr="00C4462E" w:rsidRDefault="00CC1BCE" w:rsidP="007B0983">
            <w:pPr>
              <w:rPr>
                <w:sz w:val="22"/>
                <w:szCs w:val="22"/>
              </w:rPr>
            </w:pPr>
            <w:r w:rsidRPr="00C4462E">
              <w:rPr>
                <w:sz w:val="22"/>
                <w:szCs w:val="22"/>
              </w:rPr>
              <w:t>Transformational</w:t>
            </w:r>
          </w:p>
          <w:p w14:paraId="05B54F1B" w14:textId="067BBB27" w:rsidR="00CC1BCE" w:rsidRPr="00C4462E" w:rsidRDefault="00CC1BCE" w:rsidP="007B0983">
            <w:pPr>
              <w:rPr>
                <w:sz w:val="22"/>
                <w:szCs w:val="22"/>
              </w:rPr>
            </w:pPr>
            <w:r w:rsidRPr="00C4462E">
              <w:rPr>
                <w:sz w:val="22"/>
                <w:szCs w:val="22"/>
              </w:rPr>
              <w:t>5,093</w:t>
            </w:r>
          </w:p>
        </w:tc>
      </w:tr>
      <w:tr w:rsidR="00C4462E" w:rsidRPr="00C4462E" w14:paraId="4722DFCE" w14:textId="17A86447" w:rsidTr="005105D3">
        <w:tc>
          <w:tcPr>
            <w:tcW w:w="1559" w:type="dxa"/>
          </w:tcPr>
          <w:p w14:paraId="4D83C41C" w14:textId="2BE3E148" w:rsidR="00CC1BCE" w:rsidRPr="00C4462E" w:rsidRDefault="00CC1BCE" w:rsidP="007B0983">
            <w:pPr>
              <w:rPr>
                <w:sz w:val="22"/>
                <w:szCs w:val="22"/>
              </w:rPr>
            </w:pPr>
            <w:r w:rsidRPr="00C4462E">
              <w:rPr>
                <w:sz w:val="22"/>
                <w:szCs w:val="22"/>
              </w:rPr>
              <w:t>HENA</w:t>
            </w:r>
          </w:p>
        </w:tc>
        <w:tc>
          <w:tcPr>
            <w:tcW w:w="1417" w:type="dxa"/>
          </w:tcPr>
          <w:p w14:paraId="5C19B256" w14:textId="77777777" w:rsidR="00CC1BCE" w:rsidRPr="00C4462E" w:rsidRDefault="00CC1BCE" w:rsidP="007B0983">
            <w:pPr>
              <w:rPr>
                <w:sz w:val="22"/>
                <w:szCs w:val="22"/>
              </w:rPr>
            </w:pPr>
            <w:r w:rsidRPr="00C4462E">
              <w:rPr>
                <w:sz w:val="22"/>
                <w:szCs w:val="22"/>
              </w:rPr>
              <w:t>Standard Method</w:t>
            </w:r>
          </w:p>
          <w:p w14:paraId="53073E96" w14:textId="74FF73EF" w:rsidR="00CC1BCE" w:rsidRPr="00C4462E" w:rsidRDefault="00CC1BCE" w:rsidP="007B0983">
            <w:pPr>
              <w:rPr>
                <w:sz w:val="22"/>
                <w:szCs w:val="22"/>
              </w:rPr>
            </w:pPr>
            <w:r w:rsidRPr="00C4462E">
              <w:rPr>
                <w:sz w:val="22"/>
                <w:szCs w:val="22"/>
              </w:rPr>
              <w:t>3,388</w:t>
            </w:r>
          </w:p>
        </w:tc>
        <w:tc>
          <w:tcPr>
            <w:tcW w:w="1985" w:type="dxa"/>
          </w:tcPr>
          <w:p w14:paraId="713F2898" w14:textId="77777777" w:rsidR="00CC1BCE" w:rsidRPr="00C4462E" w:rsidRDefault="00CC1BCE" w:rsidP="007B0983">
            <w:pPr>
              <w:rPr>
                <w:sz w:val="22"/>
                <w:szCs w:val="22"/>
              </w:rPr>
            </w:pPr>
            <w:r w:rsidRPr="00C4462E">
              <w:rPr>
                <w:sz w:val="22"/>
                <w:szCs w:val="22"/>
              </w:rPr>
              <w:t>Census-adjusted Standard Method</w:t>
            </w:r>
          </w:p>
          <w:p w14:paraId="57F8E738" w14:textId="2AC1097E" w:rsidR="00CC1BCE" w:rsidRPr="00C4462E" w:rsidRDefault="00CC1BCE" w:rsidP="007B0983">
            <w:pPr>
              <w:rPr>
                <w:sz w:val="22"/>
                <w:szCs w:val="22"/>
              </w:rPr>
            </w:pPr>
            <w:r w:rsidRPr="00C4462E">
              <w:rPr>
                <w:sz w:val="22"/>
                <w:szCs w:val="22"/>
              </w:rPr>
              <w:t>4,721</w:t>
            </w:r>
          </w:p>
        </w:tc>
        <w:tc>
          <w:tcPr>
            <w:tcW w:w="1880" w:type="dxa"/>
          </w:tcPr>
          <w:p w14:paraId="637D99DE" w14:textId="77777777" w:rsidR="00CC1BCE" w:rsidRPr="00C4462E" w:rsidRDefault="00CC1BCE" w:rsidP="007B0983">
            <w:pPr>
              <w:rPr>
                <w:sz w:val="22"/>
                <w:szCs w:val="22"/>
              </w:rPr>
            </w:pPr>
            <w:r w:rsidRPr="00C4462E">
              <w:rPr>
                <w:sz w:val="22"/>
                <w:szCs w:val="22"/>
              </w:rPr>
              <w:t>Cambridge Econometrics baseline trend</w:t>
            </w:r>
          </w:p>
          <w:p w14:paraId="02CB2A50" w14:textId="633BA625" w:rsidR="00CC1BCE" w:rsidRPr="00C4462E" w:rsidRDefault="00CC1BCE" w:rsidP="007B0983">
            <w:pPr>
              <w:rPr>
                <w:sz w:val="22"/>
                <w:szCs w:val="22"/>
              </w:rPr>
            </w:pPr>
            <w:r w:rsidRPr="00C4462E">
              <w:rPr>
                <w:sz w:val="22"/>
                <w:szCs w:val="22"/>
              </w:rPr>
              <w:t>4,406</w:t>
            </w:r>
          </w:p>
        </w:tc>
        <w:tc>
          <w:tcPr>
            <w:tcW w:w="1867" w:type="dxa"/>
          </w:tcPr>
          <w:p w14:paraId="058E4A45" w14:textId="77777777" w:rsidR="00CC1BCE" w:rsidRPr="00C4462E" w:rsidRDefault="00CC1BCE" w:rsidP="007B0983">
            <w:pPr>
              <w:rPr>
                <w:sz w:val="22"/>
                <w:szCs w:val="22"/>
              </w:rPr>
            </w:pPr>
            <w:r w:rsidRPr="00C4462E">
              <w:rPr>
                <w:sz w:val="22"/>
                <w:szCs w:val="22"/>
              </w:rPr>
              <w:t>Economic Development</w:t>
            </w:r>
          </w:p>
          <w:p w14:paraId="321BA460" w14:textId="1FC4751B" w:rsidR="00CC1BCE" w:rsidRPr="00C4462E" w:rsidRDefault="00CC1BCE" w:rsidP="007B0983">
            <w:pPr>
              <w:rPr>
                <w:sz w:val="22"/>
                <w:szCs w:val="22"/>
              </w:rPr>
            </w:pPr>
            <w:r w:rsidRPr="00C4462E">
              <w:rPr>
                <w:sz w:val="22"/>
                <w:szCs w:val="22"/>
              </w:rPr>
              <w:t>5,830</w:t>
            </w:r>
          </w:p>
        </w:tc>
      </w:tr>
      <w:tr w:rsidR="00CC1BCE" w:rsidRPr="00C4462E" w14:paraId="5E968074" w14:textId="697DD3A2" w:rsidTr="005105D3">
        <w:tc>
          <w:tcPr>
            <w:tcW w:w="1559" w:type="dxa"/>
          </w:tcPr>
          <w:p w14:paraId="1649991A" w14:textId="5D622AD1" w:rsidR="00CC1BCE" w:rsidRPr="00C4462E" w:rsidRDefault="00CC1BCE" w:rsidP="007B0983">
            <w:pPr>
              <w:rPr>
                <w:sz w:val="22"/>
                <w:szCs w:val="22"/>
              </w:rPr>
            </w:pPr>
            <w:r w:rsidRPr="00C4462E">
              <w:rPr>
                <w:sz w:val="22"/>
                <w:szCs w:val="22"/>
              </w:rPr>
              <w:t>Comparison</w:t>
            </w:r>
          </w:p>
        </w:tc>
        <w:tc>
          <w:tcPr>
            <w:tcW w:w="1417" w:type="dxa"/>
          </w:tcPr>
          <w:p w14:paraId="20833F62" w14:textId="7D9E26F9" w:rsidR="00CC1BCE" w:rsidRPr="00C4462E" w:rsidRDefault="00CC1BCE" w:rsidP="007B0983">
            <w:pPr>
              <w:rPr>
                <w:sz w:val="22"/>
                <w:szCs w:val="22"/>
              </w:rPr>
            </w:pPr>
            <w:r w:rsidRPr="00C4462E">
              <w:rPr>
                <w:sz w:val="22"/>
                <w:szCs w:val="22"/>
              </w:rPr>
              <w:t>+2</w:t>
            </w:r>
          </w:p>
        </w:tc>
        <w:tc>
          <w:tcPr>
            <w:tcW w:w="1985" w:type="dxa"/>
          </w:tcPr>
          <w:p w14:paraId="66234A45" w14:textId="77777777" w:rsidR="00CC1BCE" w:rsidRPr="00C4462E" w:rsidRDefault="00CC1BCE" w:rsidP="007B0983">
            <w:pPr>
              <w:rPr>
                <w:sz w:val="22"/>
                <w:szCs w:val="22"/>
              </w:rPr>
            </w:pPr>
          </w:p>
        </w:tc>
        <w:tc>
          <w:tcPr>
            <w:tcW w:w="1880" w:type="dxa"/>
          </w:tcPr>
          <w:p w14:paraId="72E537B1" w14:textId="22B68625" w:rsidR="00CC1BCE" w:rsidRPr="00C4462E" w:rsidRDefault="00CC1BCE" w:rsidP="007B0983">
            <w:pPr>
              <w:rPr>
                <w:sz w:val="22"/>
                <w:szCs w:val="22"/>
              </w:rPr>
            </w:pPr>
            <w:r w:rsidRPr="00C4462E">
              <w:rPr>
                <w:sz w:val="22"/>
                <w:szCs w:val="22"/>
              </w:rPr>
              <w:t>+293</w:t>
            </w:r>
          </w:p>
        </w:tc>
        <w:tc>
          <w:tcPr>
            <w:tcW w:w="1867" w:type="dxa"/>
          </w:tcPr>
          <w:p w14:paraId="1B2CE91C" w14:textId="1FE76CBC" w:rsidR="00CC1BCE" w:rsidRPr="00C4462E" w:rsidRDefault="00CC1BCE" w:rsidP="007B0983">
            <w:pPr>
              <w:rPr>
                <w:sz w:val="22"/>
                <w:szCs w:val="22"/>
              </w:rPr>
            </w:pPr>
            <w:r w:rsidRPr="00C4462E">
              <w:rPr>
                <w:sz w:val="22"/>
                <w:szCs w:val="22"/>
              </w:rPr>
              <w:t>+737</w:t>
            </w:r>
          </w:p>
        </w:tc>
      </w:tr>
    </w:tbl>
    <w:p w14:paraId="699D30B0" w14:textId="77777777" w:rsidR="00BC0EE1" w:rsidRPr="00127D0A" w:rsidRDefault="00BC0EE1" w:rsidP="00127D0A">
      <w:pPr>
        <w:rPr>
          <w:sz w:val="22"/>
          <w:szCs w:val="22"/>
        </w:rPr>
      </w:pPr>
    </w:p>
    <w:p w14:paraId="51A2A807" w14:textId="206C6C83" w:rsidR="003D7455" w:rsidRDefault="00BF6978" w:rsidP="005562E1">
      <w:pPr>
        <w:pStyle w:val="ListParagraph"/>
        <w:numPr>
          <w:ilvl w:val="0"/>
          <w:numId w:val="32"/>
        </w:numPr>
        <w:jc w:val="both"/>
        <w:rPr>
          <w:sz w:val="22"/>
          <w:szCs w:val="22"/>
        </w:rPr>
      </w:pPr>
      <w:r>
        <w:rPr>
          <w:sz w:val="22"/>
          <w:szCs w:val="22"/>
        </w:rPr>
        <w:t>G</w:t>
      </w:r>
      <w:r w:rsidR="00CB1654" w:rsidRPr="00C4462E">
        <w:rPr>
          <w:sz w:val="22"/>
          <w:szCs w:val="22"/>
        </w:rPr>
        <w:t>overnment guidance suggests the Standard Method unless there are exceptional circumstances, and in this case the Standard Method produces the lowest figures of any of the scenarios identified</w:t>
      </w:r>
      <w:r w:rsidR="003D7455" w:rsidRPr="00C4462E">
        <w:rPr>
          <w:sz w:val="22"/>
          <w:szCs w:val="22"/>
        </w:rPr>
        <w:t>.</w:t>
      </w:r>
      <w:r w:rsidR="00CB1654" w:rsidRPr="00C4462E">
        <w:rPr>
          <w:sz w:val="22"/>
          <w:szCs w:val="22"/>
        </w:rPr>
        <w:t xml:space="preserve">  </w:t>
      </w:r>
      <w:r w:rsidR="00E277BC">
        <w:rPr>
          <w:sz w:val="22"/>
          <w:szCs w:val="22"/>
        </w:rPr>
        <w:t>It may be that scenarios with lower figures than the Standard Method could have been identified</w:t>
      </w:r>
      <w:r w:rsidR="00760B00">
        <w:rPr>
          <w:sz w:val="22"/>
          <w:szCs w:val="22"/>
        </w:rPr>
        <w:t xml:space="preserve"> if there are exceptional circumstances</w:t>
      </w:r>
      <w:r w:rsidR="00E277BC">
        <w:rPr>
          <w:sz w:val="22"/>
          <w:szCs w:val="22"/>
        </w:rPr>
        <w:t>.</w:t>
      </w:r>
      <w:r w:rsidR="00E36886" w:rsidRPr="00C4462E">
        <w:rPr>
          <w:sz w:val="22"/>
          <w:szCs w:val="22"/>
        </w:rPr>
        <w:t xml:space="preserve"> </w:t>
      </w:r>
      <w:r w:rsidR="00E97769">
        <w:rPr>
          <w:sz w:val="22"/>
          <w:szCs w:val="22"/>
        </w:rPr>
        <w:t>Our concerns</w:t>
      </w:r>
      <w:r w:rsidR="00E277BC">
        <w:rPr>
          <w:sz w:val="22"/>
          <w:szCs w:val="22"/>
        </w:rPr>
        <w:t xml:space="preserve"> are set out below in answer to Q8. </w:t>
      </w:r>
      <w:r w:rsidR="00614A79" w:rsidRPr="00C4462E">
        <w:rPr>
          <w:sz w:val="22"/>
          <w:szCs w:val="22"/>
        </w:rPr>
        <w:t>We seek ongoing discussion with the City and Districts on these matters.</w:t>
      </w:r>
      <w:r w:rsidR="00E277BC">
        <w:rPr>
          <w:sz w:val="22"/>
          <w:szCs w:val="22"/>
        </w:rPr>
        <w:t xml:space="preserve"> </w:t>
      </w:r>
    </w:p>
    <w:p w14:paraId="4B668B87" w14:textId="77777777" w:rsidR="00E277BC" w:rsidRPr="00C4462E" w:rsidRDefault="00E277BC" w:rsidP="00E277BC">
      <w:pPr>
        <w:pStyle w:val="ListParagraph"/>
        <w:ind w:left="360"/>
        <w:jc w:val="both"/>
        <w:rPr>
          <w:sz w:val="22"/>
          <w:szCs w:val="22"/>
        </w:rPr>
      </w:pPr>
    </w:p>
    <w:p w14:paraId="02BBB357" w14:textId="77777777" w:rsidR="00C7161C" w:rsidRPr="00C4462E" w:rsidRDefault="00C7161C" w:rsidP="00CB1654">
      <w:pPr>
        <w:rPr>
          <w:sz w:val="22"/>
          <w:szCs w:val="22"/>
        </w:rPr>
      </w:pPr>
    </w:p>
    <w:p w14:paraId="47271CFB" w14:textId="780091CD" w:rsidR="00BA12DB" w:rsidRPr="00C4462E" w:rsidRDefault="00C7161C" w:rsidP="00BA12DB">
      <w:pPr>
        <w:jc w:val="both"/>
        <w:rPr>
          <w:b/>
          <w:bCs/>
          <w:sz w:val="22"/>
          <w:szCs w:val="22"/>
        </w:rPr>
      </w:pPr>
      <w:r w:rsidRPr="00C4462E">
        <w:rPr>
          <w:b/>
          <w:bCs/>
          <w:sz w:val="22"/>
          <w:szCs w:val="22"/>
        </w:rPr>
        <w:t xml:space="preserve">Choice of </w:t>
      </w:r>
      <w:r w:rsidR="00B43C3B">
        <w:rPr>
          <w:b/>
          <w:bCs/>
          <w:sz w:val="22"/>
          <w:szCs w:val="22"/>
        </w:rPr>
        <w:t xml:space="preserve">Distribution </w:t>
      </w:r>
      <w:r w:rsidRPr="00C4462E">
        <w:rPr>
          <w:b/>
          <w:bCs/>
          <w:sz w:val="22"/>
          <w:szCs w:val="22"/>
        </w:rPr>
        <w:t>Figure for Oxford City</w:t>
      </w:r>
    </w:p>
    <w:p w14:paraId="4D3F451B" w14:textId="77777777" w:rsidR="003D7455" w:rsidRPr="00C4462E" w:rsidRDefault="003D7455" w:rsidP="00F07B51">
      <w:pPr>
        <w:pStyle w:val="ListParagraph"/>
        <w:jc w:val="both"/>
        <w:rPr>
          <w:sz w:val="22"/>
          <w:szCs w:val="22"/>
        </w:rPr>
      </w:pPr>
    </w:p>
    <w:p w14:paraId="12151124" w14:textId="636B6308" w:rsidR="003D7455" w:rsidRDefault="003D7455" w:rsidP="00F07B51">
      <w:pPr>
        <w:jc w:val="both"/>
        <w:rPr>
          <w:sz w:val="22"/>
          <w:szCs w:val="22"/>
        </w:rPr>
      </w:pPr>
      <w:r w:rsidRPr="00C4462E">
        <w:rPr>
          <w:b/>
          <w:bCs/>
          <w:sz w:val="22"/>
          <w:szCs w:val="22"/>
        </w:rPr>
        <w:t>Q5</w:t>
      </w:r>
      <w:r w:rsidRPr="00C4462E">
        <w:rPr>
          <w:sz w:val="22"/>
          <w:szCs w:val="22"/>
        </w:rPr>
        <w:t>-Do you have any comments about the methods for dividing the Oxfordshire housing need between the districts, leading to the need figure of 1,322 for Oxford?</w:t>
      </w:r>
    </w:p>
    <w:p w14:paraId="29C3076B" w14:textId="77777777" w:rsidR="0057411C" w:rsidRPr="00C4462E" w:rsidRDefault="0057411C" w:rsidP="00F07B51">
      <w:pPr>
        <w:jc w:val="both"/>
        <w:rPr>
          <w:sz w:val="22"/>
          <w:szCs w:val="22"/>
        </w:rPr>
      </w:pPr>
    </w:p>
    <w:p w14:paraId="09DC4C65" w14:textId="7E4EB66A" w:rsidR="0057411C" w:rsidRPr="00C4462E" w:rsidRDefault="0057411C" w:rsidP="0057411C">
      <w:pPr>
        <w:pStyle w:val="ListParagraph"/>
        <w:numPr>
          <w:ilvl w:val="0"/>
          <w:numId w:val="32"/>
        </w:numPr>
        <w:jc w:val="both"/>
        <w:rPr>
          <w:sz w:val="22"/>
          <w:szCs w:val="22"/>
        </w:rPr>
      </w:pPr>
      <w:r w:rsidRPr="00C4462E">
        <w:rPr>
          <w:sz w:val="22"/>
          <w:szCs w:val="22"/>
        </w:rPr>
        <w:t xml:space="preserve">The </w:t>
      </w:r>
      <w:r w:rsidR="00B117E9">
        <w:rPr>
          <w:sz w:val="22"/>
          <w:szCs w:val="22"/>
        </w:rPr>
        <w:t xml:space="preserve">consultation document favours </w:t>
      </w:r>
      <w:r w:rsidRPr="00C4462E">
        <w:rPr>
          <w:sz w:val="22"/>
          <w:szCs w:val="22"/>
        </w:rPr>
        <w:t xml:space="preserve">apportioning the Oxfordshire numbers by district by relating the housing numbers to existing and future employment.  The results are shown in Table 3. This leads to a figure of 1,322 </w:t>
      </w:r>
      <w:proofErr w:type="spellStart"/>
      <w:r w:rsidRPr="00C4462E">
        <w:rPr>
          <w:sz w:val="22"/>
          <w:szCs w:val="22"/>
        </w:rPr>
        <w:t>dpa</w:t>
      </w:r>
      <w:proofErr w:type="spellEnd"/>
      <w:r w:rsidRPr="00C4462E">
        <w:rPr>
          <w:sz w:val="22"/>
          <w:szCs w:val="22"/>
        </w:rPr>
        <w:t xml:space="preserve"> being the assessed need for housing in Oxford City </w:t>
      </w:r>
      <w:proofErr w:type="gramStart"/>
      <w:r w:rsidRPr="00C4462E">
        <w:rPr>
          <w:sz w:val="22"/>
          <w:szCs w:val="22"/>
        </w:rPr>
        <w:t>i.e.</w:t>
      </w:r>
      <w:proofErr w:type="gramEnd"/>
      <w:r w:rsidRPr="00C4462E">
        <w:rPr>
          <w:sz w:val="22"/>
          <w:szCs w:val="22"/>
        </w:rPr>
        <w:t xml:space="preserve"> 26,440 dwellings 2020-2040.</w:t>
      </w:r>
      <w:r w:rsidRPr="00C4462E">
        <w:rPr>
          <w:sz w:val="22"/>
          <w:szCs w:val="22"/>
        </w:rPr>
        <w:tab/>
      </w:r>
    </w:p>
    <w:p w14:paraId="447CD8D2" w14:textId="127001AE" w:rsidR="003D7455" w:rsidRPr="00C4462E" w:rsidRDefault="003D7455" w:rsidP="00F07B51">
      <w:pPr>
        <w:jc w:val="both"/>
        <w:rPr>
          <w:sz w:val="22"/>
          <w:szCs w:val="22"/>
        </w:rPr>
      </w:pPr>
    </w:p>
    <w:p w14:paraId="25D2CBA4" w14:textId="77777777" w:rsidR="00501564" w:rsidRPr="00C4462E" w:rsidRDefault="00501564" w:rsidP="00501564">
      <w:pPr>
        <w:jc w:val="both"/>
        <w:rPr>
          <w:sz w:val="22"/>
          <w:szCs w:val="22"/>
        </w:rPr>
      </w:pPr>
      <w:r w:rsidRPr="00C4462E">
        <w:rPr>
          <w:sz w:val="22"/>
          <w:szCs w:val="22"/>
        </w:rPr>
        <w:t>Table 3 – Distribution of District Housing Need by Distribution of Employment in 2040</w:t>
      </w:r>
    </w:p>
    <w:tbl>
      <w:tblPr>
        <w:tblStyle w:val="TableGrid"/>
        <w:tblW w:w="0" w:type="auto"/>
        <w:tblLook w:val="04A0" w:firstRow="1" w:lastRow="0" w:firstColumn="1" w:lastColumn="0" w:noHBand="0" w:noVBand="1"/>
      </w:tblPr>
      <w:tblGrid>
        <w:gridCol w:w="2302"/>
        <w:gridCol w:w="840"/>
        <w:gridCol w:w="1506"/>
        <w:gridCol w:w="1506"/>
        <w:gridCol w:w="1549"/>
        <w:gridCol w:w="1539"/>
      </w:tblGrid>
      <w:tr w:rsidR="00C4462E" w:rsidRPr="00C4462E" w14:paraId="3CA387D2" w14:textId="77777777" w:rsidTr="003C1616">
        <w:tc>
          <w:tcPr>
            <w:tcW w:w="3142" w:type="dxa"/>
            <w:gridSpan w:val="2"/>
          </w:tcPr>
          <w:p w14:paraId="22DB29B9" w14:textId="77777777" w:rsidR="00501564" w:rsidRPr="00C4462E" w:rsidRDefault="00501564" w:rsidP="003C1616">
            <w:pPr>
              <w:rPr>
                <w:sz w:val="22"/>
                <w:szCs w:val="22"/>
              </w:rPr>
            </w:pPr>
            <w:bookmarkStart w:id="0" w:name="_Hlk130822343"/>
          </w:p>
        </w:tc>
        <w:tc>
          <w:tcPr>
            <w:tcW w:w="6100" w:type="dxa"/>
            <w:gridSpan w:val="4"/>
          </w:tcPr>
          <w:p w14:paraId="4CDC5B33" w14:textId="77777777" w:rsidR="00501564" w:rsidRPr="00C4462E" w:rsidRDefault="00501564" w:rsidP="003C1616">
            <w:pPr>
              <w:jc w:val="center"/>
              <w:rPr>
                <w:sz w:val="22"/>
                <w:szCs w:val="22"/>
              </w:rPr>
            </w:pPr>
            <w:r w:rsidRPr="00C4462E">
              <w:rPr>
                <w:sz w:val="22"/>
                <w:szCs w:val="22"/>
              </w:rPr>
              <w:t>Housing Need Scenario</w:t>
            </w:r>
          </w:p>
        </w:tc>
      </w:tr>
      <w:tr w:rsidR="00C4462E" w:rsidRPr="00C4462E" w14:paraId="407EAAFF" w14:textId="77777777" w:rsidTr="003C1616">
        <w:tc>
          <w:tcPr>
            <w:tcW w:w="3142" w:type="dxa"/>
            <w:gridSpan w:val="2"/>
          </w:tcPr>
          <w:p w14:paraId="689E6A63" w14:textId="77777777" w:rsidR="00501564" w:rsidRPr="00C4462E" w:rsidRDefault="00501564" w:rsidP="003C1616">
            <w:pPr>
              <w:rPr>
                <w:sz w:val="22"/>
                <w:szCs w:val="22"/>
              </w:rPr>
            </w:pPr>
            <w:r w:rsidRPr="00C4462E">
              <w:rPr>
                <w:sz w:val="22"/>
                <w:szCs w:val="22"/>
              </w:rPr>
              <w:t>CE Baseline Trend Employment Based Distribution Projected (2040) Distribution</w:t>
            </w:r>
          </w:p>
        </w:tc>
        <w:tc>
          <w:tcPr>
            <w:tcW w:w="1506" w:type="dxa"/>
          </w:tcPr>
          <w:p w14:paraId="206455C6" w14:textId="77777777" w:rsidR="00501564" w:rsidRPr="00C4462E" w:rsidRDefault="00501564" w:rsidP="003C1616">
            <w:pPr>
              <w:jc w:val="center"/>
              <w:rPr>
                <w:sz w:val="22"/>
                <w:szCs w:val="22"/>
              </w:rPr>
            </w:pPr>
            <w:r w:rsidRPr="00C4462E">
              <w:rPr>
                <w:sz w:val="22"/>
                <w:szCs w:val="22"/>
              </w:rPr>
              <w:t>Standard Method</w:t>
            </w:r>
          </w:p>
        </w:tc>
        <w:tc>
          <w:tcPr>
            <w:tcW w:w="1506" w:type="dxa"/>
          </w:tcPr>
          <w:p w14:paraId="443B3F6E" w14:textId="77777777" w:rsidR="00501564" w:rsidRPr="00C4462E" w:rsidRDefault="00501564" w:rsidP="003C1616">
            <w:pPr>
              <w:jc w:val="center"/>
              <w:rPr>
                <w:sz w:val="22"/>
                <w:szCs w:val="22"/>
              </w:rPr>
            </w:pPr>
            <w:r w:rsidRPr="00C4462E">
              <w:rPr>
                <w:sz w:val="22"/>
                <w:szCs w:val="22"/>
              </w:rPr>
              <w:t>Census-Adjusted Standard Method</w:t>
            </w:r>
          </w:p>
        </w:tc>
        <w:tc>
          <w:tcPr>
            <w:tcW w:w="1549" w:type="dxa"/>
          </w:tcPr>
          <w:p w14:paraId="2FFD4923" w14:textId="77777777" w:rsidR="00501564" w:rsidRPr="00C4462E" w:rsidRDefault="00501564" w:rsidP="003C1616">
            <w:pPr>
              <w:jc w:val="center"/>
              <w:rPr>
                <w:sz w:val="22"/>
                <w:szCs w:val="22"/>
              </w:rPr>
            </w:pPr>
            <w:r w:rsidRPr="00C4462E">
              <w:rPr>
                <w:sz w:val="22"/>
                <w:szCs w:val="22"/>
              </w:rPr>
              <w:t>Cambridge Econometrics Baseline Trend</w:t>
            </w:r>
          </w:p>
        </w:tc>
        <w:tc>
          <w:tcPr>
            <w:tcW w:w="1539" w:type="dxa"/>
          </w:tcPr>
          <w:p w14:paraId="22EB85F4" w14:textId="77777777" w:rsidR="00501564" w:rsidRPr="00C4462E" w:rsidRDefault="00501564" w:rsidP="003C1616">
            <w:pPr>
              <w:jc w:val="center"/>
              <w:rPr>
                <w:sz w:val="22"/>
                <w:szCs w:val="22"/>
              </w:rPr>
            </w:pPr>
            <w:r w:rsidRPr="00C4462E">
              <w:rPr>
                <w:sz w:val="22"/>
                <w:szCs w:val="22"/>
              </w:rPr>
              <w:t>Economic Development Led</w:t>
            </w:r>
          </w:p>
        </w:tc>
      </w:tr>
      <w:tr w:rsidR="00C4462E" w:rsidRPr="00C4462E" w14:paraId="2F37E86A" w14:textId="77777777" w:rsidTr="003C1616">
        <w:tc>
          <w:tcPr>
            <w:tcW w:w="2302" w:type="dxa"/>
          </w:tcPr>
          <w:p w14:paraId="5672CBCE" w14:textId="77777777" w:rsidR="00501564" w:rsidRPr="00C4462E" w:rsidRDefault="00501564" w:rsidP="003C1616">
            <w:pPr>
              <w:rPr>
                <w:sz w:val="22"/>
                <w:szCs w:val="22"/>
              </w:rPr>
            </w:pPr>
            <w:r w:rsidRPr="00C4462E">
              <w:rPr>
                <w:sz w:val="22"/>
                <w:szCs w:val="22"/>
              </w:rPr>
              <w:t>Oxfordshire</w:t>
            </w:r>
          </w:p>
        </w:tc>
        <w:tc>
          <w:tcPr>
            <w:tcW w:w="840" w:type="dxa"/>
          </w:tcPr>
          <w:p w14:paraId="0D018F81" w14:textId="77777777" w:rsidR="00501564" w:rsidRPr="00C4462E" w:rsidRDefault="00501564" w:rsidP="003C1616">
            <w:pPr>
              <w:rPr>
                <w:sz w:val="22"/>
                <w:szCs w:val="22"/>
              </w:rPr>
            </w:pPr>
            <w:r w:rsidRPr="00C4462E">
              <w:rPr>
                <w:sz w:val="22"/>
                <w:szCs w:val="22"/>
              </w:rPr>
              <w:t>100%</w:t>
            </w:r>
          </w:p>
        </w:tc>
        <w:tc>
          <w:tcPr>
            <w:tcW w:w="1506" w:type="dxa"/>
          </w:tcPr>
          <w:p w14:paraId="0FEB1066" w14:textId="77777777" w:rsidR="00501564" w:rsidRPr="00C4462E" w:rsidRDefault="00501564" w:rsidP="003C1616">
            <w:pPr>
              <w:jc w:val="right"/>
              <w:rPr>
                <w:sz w:val="22"/>
                <w:szCs w:val="22"/>
              </w:rPr>
            </w:pPr>
            <w:r w:rsidRPr="00C4462E">
              <w:rPr>
                <w:sz w:val="22"/>
                <w:szCs w:val="22"/>
              </w:rPr>
              <w:t>3,388</w:t>
            </w:r>
          </w:p>
        </w:tc>
        <w:tc>
          <w:tcPr>
            <w:tcW w:w="1506" w:type="dxa"/>
          </w:tcPr>
          <w:p w14:paraId="47E0C5F0" w14:textId="77777777" w:rsidR="00501564" w:rsidRPr="00C4462E" w:rsidRDefault="00501564" w:rsidP="003C1616">
            <w:pPr>
              <w:jc w:val="right"/>
              <w:rPr>
                <w:sz w:val="22"/>
                <w:szCs w:val="22"/>
              </w:rPr>
            </w:pPr>
            <w:r w:rsidRPr="00C4462E">
              <w:rPr>
                <w:sz w:val="22"/>
                <w:szCs w:val="22"/>
              </w:rPr>
              <w:t>4,721</w:t>
            </w:r>
          </w:p>
        </w:tc>
        <w:tc>
          <w:tcPr>
            <w:tcW w:w="1549" w:type="dxa"/>
          </w:tcPr>
          <w:p w14:paraId="15165A76" w14:textId="77777777" w:rsidR="00501564" w:rsidRPr="00C4462E" w:rsidRDefault="00501564" w:rsidP="003C1616">
            <w:pPr>
              <w:jc w:val="right"/>
              <w:rPr>
                <w:sz w:val="22"/>
                <w:szCs w:val="22"/>
              </w:rPr>
            </w:pPr>
            <w:r w:rsidRPr="00C4462E">
              <w:rPr>
                <w:sz w:val="22"/>
                <w:szCs w:val="22"/>
              </w:rPr>
              <w:t>4,406</w:t>
            </w:r>
          </w:p>
        </w:tc>
        <w:tc>
          <w:tcPr>
            <w:tcW w:w="1539" w:type="dxa"/>
          </w:tcPr>
          <w:p w14:paraId="15992548" w14:textId="77777777" w:rsidR="00501564" w:rsidRPr="00C4462E" w:rsidRDefault="00501564" w:rsidP="003C1616">
            <w:pPr>
              <w:jc w:val="right"/>
              <w:rPr>
                <w:sz w:val="22"/>
                <w:szCs w:val="22"/>
              </w:rPr>
            </w:pPr>
            <w:r w:rsidRPr="00C4462E">
              <w:rPr>
                <w:sz w:val="22"/>
                <w:szCs w:val="22"/>
              </w:rPr>
              <w:t>5,830</w:t>
            </w:r>
          </w:p>
        </w:tc>
      </w:tr>
      <w:tr w:rsidR="00C4462E" w:rsidRPr="00C4462E" w14:paraId="6915AE14" w14:textId="77777777" w:rsidTr="003C1616">
        <w:tc>
          <w:tcPr>
            <w:tcW w:w="2302" w:type="dxa"/>
          </w:tcPr>
          <w:p w14:paraId="0EDBF943" w14:textId="77777777" w:rsidR="00501564" w:rsidRPr="00C4462E" w:rsidRDefault="00501564" w:rsidP="003C1616">
            <w:pPr>
              <w:rPr>
                <w:sz w:val="22"/>
                <w:szCs w:val="22"/>
              </w:rPr>
            </w:pPr>
            <w:r w:rsidRPr="00C4462E">
              <w:rPr>
                <w:sz w:val="22"/>
                <w:szCs w:val="22"/>
              </w:rPr>
              <w:t>Cherwell</w:t>
            </w:r>
          </w:p>
        </w:tc>
        <w:tc>
          <w:tcPr>
            <w:tcW w:w="840" w:type="dxa"/>
          </w:tcPr>
          <w:p w14:paraId="27F62F25" w14:textId="77777777" w:rsidR="00501564" w:rsidRPr="00C4462E" w:rsidRDefault="00501564" w:rsidP="003C1616">
            <w:pPr>
              <w:rPr>
                <w:sz w:val="22"/>
                <w:szCs w:val="22"/>
              </w:rPr>
            </w:pPr>
            <w:r w:rsidRPr="00C4462E">
              <w:rPr>
                <w:sz w:val="22"/>
                <w:szCs w:val="22"/>
              </w:rPr>
              <w:t>22.9%</w:t>
            </w:r>
          </w:p>
        </w:tc>
        <w:tc>
          <w:tcPr>
            <w:tcW w:w="1506" w:type="dxa"/>
          </w:tcPr>
          <w:p w14:paraId="2A7B73F0" w14:textId="77777777" w:rsidR="00501564" w:rsidRPr="00C4462E" w:rsidRDefault="00501564" w:rsidP="003C1616">
            <w:pPr>
              <w:jc w:val="right"/>
              <w:rPr>
                <w:sz w:val="22"/>
                <w:szCs w:val="22"/>
              </w:rPr>
            </w:pPr>
            <w:r w:rsidRPr="00C4462E">
              <w:rPr>
                <w:sz w:val="22"/>
                <w:szCs w:val="22"/>
              </w:rPr>
              <w:t>776</w:t>
            </w:r>
          </w:p>
        </w:tc>
        <w:tc>
          <w:tcPr>
            <w:tcW w:w="1506" w:type="dxa"/>
          </w:tcPr>
          <w:p w14:paraId="5D1B7B54" w14:textId="77777777" w:rsidR="00501564" w:rsidRPr="00C4462E" w:rsidRDefault="00501564" w:rsidP="003C1616">
            <w:pPr>
              <w:jc w:val="right"/>
              <w:rPr>
                <w:sz w:val="22"/>
                <w:szCs w:val="22"/>
              </w:rPr>
            </w:pPr>
            <w:r w:rsidRPr="00C4462E">
              <w:rPr>
                <w:sz w:val="22"/>
                <w:szCs w:val="22"/>
              </w:rPr>
              <w:t>1,081</w:t>
            </w:r>
          </w:p>
        </w:tc>
        <w:tc>
          <w:tcPr>
            <w:tcW w:w="1549" w:type="dxa"/>
          </w:tcPr>
          <w:p w14:paraId="025727C0" w14:textId="77777777" w:rsidR="00501564" w:rsidRPr="00C4462E" w:rsidRDefault="00501564" w:rsidP="003C1616">
            <w:pPr>
              <w:jc w:val="right"/>
              <w:rPr>
                <w:sz w:val="22"/>
                <w:szCs w:val="22"/>
              </w:rPr>
            </w:pPr>
            <w:r w:rsidRPr="00C4462E">
              <w:rPr>
                <w:sz w:val="22"/>
                <w:szCs w:val="22"/>
              </w:rPr>
              <w:t>1,009</w:t>
            </w:r>
          </w:p>
        </w:tc>
        <w:tc>
          <w:tcPr>
            <w:tcW w:w="1539" w:type="dxa"/>
          </w:tcPr>
          <w:p w14:paraId="649CA93E" w14:textId="77777777" w:rsidR="00501564" w:rsidRPr="00C4462E" w:rsidRDefault="00501564" w:rsidP="003C1616">
            <w:pPr>
              <w:jc w:val="right"/>
              <w:rPr>
                <w:sz w:val="22"/>
                <w:szCs w:val="22"/>
              </w:rPr>
            </w:pPr>
            <w:r w:rsidRPr="00C4462E">
              <w:rPr>
                <w:sz w:val="22"/>
                <w:szCs w:val="22"/>
              </w:rPr>
              <w:t>1,335</w:t>
            </w:r>
          </w:p>
        </w:tc>
      </w:tr>
      <w:tr w:rsidR="00C4462E" w:rsidRPr="00C4462E" w14:paraId="04BD3F84" w14:textId="77777777" w:rsidTr="003C1616">
        <w:tc>
          <w:tcPr>
            <w:tcW w:w="2302" w:type="dxa"/>
          </w:tcPr>
          <w:p w14:paraId="7FC41E16" w14:textId="77777777" w:rsidR="00501564" w:rsidRPr="00C4462E" w:rsidRDefault="00501564" w:rsidP="003C1616">
            <w:pPr>
              <w:rPr>
                <w:sz w:val="22"/>
                <w:szCs w:val="22"/>
              </w:rPr>
            </w:pPr>
            <w:r w:rsidRPr="00C4462E">
              <w:rPr>
                <w:sz w:val="22"/>
                <w:szCs w:val="22"/>
              </w:rPr>
              <w:t>Oxford City</w:t>
            </w:r>
          </w:p>
        </w:tc>
        <w:tc>
          <w:tcPr>
            <w:tcW w:w="840" w:type="dxa"/>
          </w:tcPr>
          <w:p w14:paraId="21C3369E" w14:textId="77777777" w:rsidR="00501564" w:rsidRPr="00C4462E" w:rsidRDefault="00501564" w:rsidP="003C1616">
            <w:pPr>
              <w:rPr>
                <w:sz w:val="22"/>
                <w:szCs w:val="22"/>
              </w:rPr>
            </w:pPr>
            <w:r w:rsidRPr="00C4462E">
              <w:rPr>
                <w:sz w:val="22"/>
                <w:szCs w:val="22"/>
              </w:rPr>
              <w:t>30%</w:t>
            </w:r>
          </w:p>
        </w:tc>
        <w:tc>
          <w:tcPr>
            <w:tcW w:w="1506" w:type="dxa"/>
          </w:tcPr>
          <w:p w14:paraId="5913125B" w14:textId="77777777" w:rsidR="00501564" w:rsidRPr="00C4462E" w:rsidRDefault="00501564" w:rsidP="003C1616">
            <w:pPr>
              <w:jc w:val="right"/>
              <w:rPr>
                <w:sz w:val="22"/>
                <w:szCs w:val="22"/>
              </w:rPr>
            </w:pPr>
            <w:r w:rsidRPr="00C4462E">
              <w:rPr>
                <w:sz w:val="22"/>
                <w:szCs w:val="22"/>
              </w:rPr>
              <w:t>1,016</w:t>
            </w:r>
          </w:p>
        </w:tc>
        <w:tc>
          <w:tcPr>
            <w:tcW w:w="1506" w:type="dxa"/>
          </w:tcPr>
          <w:p w14:paraId="4BB4076C" w14:textId="77777777" w:rsidR="00501564" w:rsidRPr="00C4462E" w:rsidRDefault="00501564" w:rsidP="003C1616">
            <w:pPr>
              <w:jc w:val="right"/>
              <w:rPr>
                <w:sz w:val="22"/>
                <w:szCs w:val="22"/>
              </w:rPr>
            </w:pPr>
            <w:r w:rsidRPr="00C4462E">
              <w:rPr>
                <w:sz w:val="22"/>
                <w:szCs w:val="22"/>
              </w:rPr>
              <w:t>1,416</w:t>
            </w:r>
          </w:p>
        </w:tc>
        <w:tc>
          <w:tcPr>
            <w:tcW w:w="1549" w:type="dxa"/>
          </w:tcPr>
          <w:p w14:paraId="548D9652" w14:textId="77777777" w:rsidR="00501564" w:rsidRPr="00C4462E" w:rsidRDefault="00501564" w:rsidP="003C1616">
            <w:pPr>
              <w:jc w:val="right"/>
              <w:rPr>
                <w:b/>
                <w:bCs/>
                <w:sz w:val="22"/>
                <w:szCs w:val="22"/>
              </w:rPr>
            </w:pPr>
            <w:r w:rsidRPr="00C4462E">
              <w:rPr>
                <w:b/>
                <w:bCs/>
                <w:sz w:val="22"/>
                <w:szCs w:val="22"/>
              </w:rPr>
              <w:t>1,322</w:t>
            </w:r>
          </w:p>
        </w:tc>
        <w:tc>
          <w:tcPr>
            <w:tcW w:w="1539" w:type="dxa"/>
          </w:tcPr>
          <w:p w14:paraId="56CCAAB1" w14:textId="77777777" w:rsidR="00501564" w:rsidRPr="00C4462E" w:rsidRDefault="00501564" w:rsidP="003C1616">
            <w:pPr>
              <w:jc w:val="right"/>
              <w:rPr>
                <w:sz w:val="22"/>
                <w:szCs w:val="22"/>
              </w:rPr>
            </w:pPr>
            <w:r w:rsidRPr="00C4462E">
              <w:rPr>
                <w:sz w:val="22"/>
                <w:szCs w:val="22"/>
              </w:rPr>
              <w:t>1,749</w:t>
            </w:r>
          </w:p>
        </w:tc>
      </w:tr>
      <w:tr w:rsidR="00C4462E" w:rsidRPr="00C4462E" w14:paraId="67A19774" w14:textId="77777777" w:rsidTr="003C1616">
        <w:tc>
          <w:tcPr>
            <w:tcW w:w="2302" w:type="dxa"/>
          </w:tcPr>
          <w:p w14:paraId="6B3A5E0D" w14:textId="77777777" w:rsidR="00501564" w:rsidRPr="00C4462E" w:rsidRDefault="00501564" w:rsidP="003C1616">
            <w:pPr>
              <w:rPr>
                <w:sz w:val="22"/>
                <w:szCs w:val="22"/>
              </w:rPr>
            </w:pPr>
            <w:r w:rsidRPr="00C4462E">
              <w:rPr>
                <w:sz w:val="22"/>
                <w:szCs w:val="22"/>
              </w:rPr>
              <w:t>South Oxfordshire</w:t>
            </w:r>
          </w:p>
        </w:tc>
        <w:tc>
          <w:tcPr>
            <w:tcW w:w="840" w:type="dxa"/>
          </w:tcPr>
          <w:p w14:paraId="39371448" w14:textId="77777777" w:rsidR="00501564" w:rsidRPr="00C4462E" w:rsidRDefault="00501564" w:rsidP="003C1616">
            <w:pPr>
              <w:rPr>
                <w:sz w:val="22"/>
                <w:szCs w:val="22"/>
              </w:rPr>
            </w:pPr>
            <w:r w:rsidRPr="00C4462E">
              <w:rPr>
                <w:sz w:val="22"/>
                <w:szCs w:val="22"/>
              </w:rPr>
              <w:t>18%</w:t>
            </w:r>
          </w:p>
        </w:tc>
        <w:tc>
          <w:tcPr>
            <w:tcW w:w="1506" w:type="dxa"/>
          </w:tcPr>
          <w:p w14:paraId="1111D5DE" w14:textId="77777777" w:rsidR="00501564" w:rsidRPr="00C4462E" w:rsidRDefault="00501564" w:rsidP="003C1616">
            <w:pPr>
              <w:jc w:val="right"/>
              <w:rPr>
                <w:sz w:val="22"/>
                <w:szCs w:val="22"/>
              </w:rPr>
            </w:pPr>
            <w:r w:rsidRPr="00C4462E">
              <w:rPr>
                <w:sz w:val="22"/>
                <w:szCs w:val="22"/>
              </w:rPr>
              <w:t>610</w:t>
            </w:r>
          </w:p>
        </w:tc>
        <w:tc>
          <w:tcPr>
            <w:tcW w:w="1506" w:type="dxa"/>
          </w:tcPr>
          <w:p w14:paraId="7446529A" w14:textId="77777777" w:rsidR="00501564" w:rsidRPr="00C4462E" w:rsidRDefault="00501564" w:rsidP="003C1616">
            <w:pPr>
              <w:jc w:val="right"/>
              <w:rPr>
                <w:sz w:val="22"/>
                <w:szCs w:val="22"/>
              </w:rPr>
            </w:pPr>
            <w:r w:rsidRPr="00C4462E">
              <w:rPr>
                <w:sz w:val="22"/>
                <w:szCs w:val="22"/>
              </w:rPr>
              <w:t>850</w:t>
            </w:r>
          </w:p>
        </w:tc>
        <w:tc>
          <w:tcPr>
            <w:tcW w:w="1549" w:type="dxa"/>
          </w:tcPr>
          <w:p w14:paraId="48DBDD8C" w14:textId="77777777" w:rsidR="00501564" w:rsidRPr="00C4462E" w:rsidRDefault="00501564" w:rsidP="003C1616">
            <w:pPr>
              <w:jc w:val="right"/>
              <w:rPr>
                <w:sz w:val="22"/>
                <w:szCs w:val="22"/>
              </w:rPr>
            </w:pPr>
            <w:r w:rsidRPr="00C4462E">
              <w:rPr>
                <w:sz w:val="22"/>
                <w:szCs w:val="22"/>
              </w:rPr>
              <w:t>793</w:t>
            </w:r>
          </w:p>
        </w:tc>
        <w:tc>
          <w:tcPr>
            <w:tcW w:w="1539" w:type="dxa"/>
          </w:tcPr>
          <w:p w14:paraId="35CF2A96" w14:textId="77777777" w:rsidR="00501564" w:rsidRPr="00C4462E" w:rsidRDefault="00501564" w:rsidP="003C1616">
            <w:pPr>
              <w:jc w:val="right"/>
              <w:rPr>
                <w:sz w:val="22"/>
                <w:szCs w:val="22"/>
              </w:rPr>
            </w:pPr>
            <w:r w:rsidRPr="00C4462E">
              <w:rPr>
                <w:sz w:val="22"/>
                <w:szCs w:val="22"/>
              </w:rPr>
              <w:t>1,049</w:t>
            </w:r>
          </w:p>
        </w:tc>
      </w:tr>
      <w:tr w:rsidR="00C4462E" w:rsidRPr="00C4462E" w14:paraId="6500DF39" w14:textId="77777777" w:rsidTr="003C1616">
        <w:tc>
          <w:tcPr>
            <w:tcW w:w="2302" w:type="dxa"/>
          </w:tcPr>
          <w:p w14:paraId="3D3C2A9D" w14:textId="77777777" w:rsidR="00501564" w:rsidRPr="00C4462E" w:rsidRDefault="00501564" w:rsidP="003C1616">
            <w:pPr>
              <w:rPr>
                <w:sz w:val="22"/>
                <w:szCs w:val="22"/>
              </w:rPr>
            </w:pPr>
            <w:r w:rsidRPr="00C4462E">
              <w:rPr>
                <w:sz w:val="22"/>
                <w:szCs w:val="22"/>
              </w:rPr>
              <w:t>Vale of White Horse</w:t>
            </w:r>
          </w:p>
        </w:tc>
        <w:tc>
          <w:tcPr>
            <w:tcW w:w="840" w:type="dxa"/>
          </w:tcPr>
          <w:p w14:paraId="483B8AF9" w14:textId="77777777" w:rsidR="00501564" w:rsidRPr="00C4462E" w:rsidRDefault="00501564" w:rsidP="003C1616">
            <w:pPr>
              <w:rPr>
                <w:sz w:val="22"/>
                <w:szCs w:val="22"/>
              </w:rPr>
            </w:pPr>
            <w:r w:rsidRPr="00C4462E">
              <w:rPr>
                <w:sz w:val="22"/>
                <w:szCs w:val="22"/>
              </w:rPr>
              <w:t>16.2%</w:t>
            </w:r>
          </w:p>
        </w:tc>
        <w:tc>
          <w:tcPr>
            <w:tcW w:w="1506" w:type="dxa"/>
          </w:tcPr>
          <w:p w14:paraId="2F4F464E" w14:textId="77777777" w:rsidR="00501564" w:rsidRPr="00C4462E" w:rsidRDefault="00501564" w:rsidP="003C1616">
            <w:pPr>
              <w:jc w:val="right"/>
              <w:rPr>
                <w:sz w:val="22"/>
                <w:szCs w:val="22"/>
              </w:rPr>
            </w:pPr>
            <w:r w:rsidRPr="00C4462E">
              <w:rPr>
                <w:sz w:val="22"/>
                <w:szCs w:val="22"/>
              </w:rPr>
              <w:t>549</w:t>
            </w:r>
          </w:p>
        </w:tc>
        <w:tc>
          <w:tcPr>
            <w:tcW w:w="1506" w:type="dxa"/>
          </w:tcPr>
          <w:p w14:paraId="0F48DBA1" w14:textId="77777777" w:rsidR="00501564" w:rsidRPr="00C4462E" w:rsidRDefault="00501564" w:rsidP="003C1616">
            <w:pPr>
              <w:jc w:val="right"/>
              <w:rPr>
                <w:sz w:val="22"/>
                <w:szCs w:val="22"/>
              </w:rPr>
            </w:pPr>
            <w:r w:rsidRPr="00C4462E">
              <w:rPr>
                <w:sz w:val="22"/>
                <w:szCs w:val="22"/>
              </w:rPr>
              <w:t>765</w:t>
            </w:r>
          </w:p>
        </w:tc>
        <w:tc>
          <w:tcPr>
            <w:tcW w:w="1549" w:type="dxa"/>
          </w:tcPr>
          <w:p w14:paraId="791E794A" w14:textId="77777777" w:rsidR="00501564" w:rsidRPr="00C4462E" w:rsidRDefault="00501564" w:rsidP="003C1616">
            <w:pPr>
              <w:jc w:val="right"/>
              <w:rPr>
                <w:sz w:val="22"/>
                <w:szCs w:val="22"/>
              </w:rPr>
            </w:pPr>
            <w:r w:rsidRPr="00C4462E">
              <w:rPr>
                <w:sz w:val="22"/>
                <w:szCs w:val="22"/>
              </w:rPr>
              <w:t>714</w:t>
            </w:r>
          </w:p>
        </w:tc>
        <w:tc>
          <w:tcPr>
            <w:tcW w:w="1539" w:type="dxa"/>
          </w:tcPr>
          <w:p w14:paraId="212008DE" w14:textId="77777777" w:rsidR="00501564" w:rsidRPr="00C4462E" w:rsidRDefault="00501564" w:rsidP="003C1616">
            <w:pPr>
              <w:jc w:val="right"/>
              <w:rPr>
                <w:sz w:val="22"/>
                <w:szCs w:val="22"/>
              </w:rPr>
            </w:pPr>
            <w:r w:rsidRPr="00C4462E">
              <w:rPr>
                <w:sz w:val="22"/>
                <w:szCs w:val="22"/>
              </w:rPr>
              <w:t>944</w:t>
            </w:r>
          </w:p>
        </w:tc>
      </w:tr>
      <w:tr w:rsidR="00501564" w:rsidRPr="00C4462E" w14:paraId="1D5D7C88" w14:textId="77777777" w:rsidTr="003C1616">
        <w:tc>
          <w:tcPr>
            <w:tcW w:w="2302" w:type="dxa"/>
          </w:tcPr>
          <w:p w14:paraId="6D807ED9" w14:textId="77777777" w:rsidR="00501564" w:rsidRPr="00C4462E" w:rsidRDefault="00501564" w:rsidP="003C1616">
            <w:pPr>
              <w:rPr>
                <w:sz w:val="22"/>
                <w:szCs w:val="22"/>
              </w:rPr>
            </w:pPr>
            <w:r w:rsidRPr="00C4462E">
              <w:rPr>
                <w:sz w:val="22"/>
                <w:szCs w:val="22"/>
              </w:rPr>
              <w:t>West Oxfordshire</w:t>
            </w:r>
          </w:p>
        </w:tc>
        <w:tc>
          <w:tcPr>
            <w:tcW w:w="840" w:type="dxa"/>
          </w:tcPr>
          <w:p w14:paraId="758F2F4F" w14:textId="77777777" w:rsidR="00501564" w:rsidRPr="00C4462E" w:rsidRDefault="00501564" w:rsidP="003C1616">
            <w:pPr>
              <w:rPr>
                <w:sz w:val="22"/>
                <w:szCs w:val="22"/>
              </w:rPr>
            </w:pPr>
            <w:r w:rsidRPr="00C4462E">
              <w:rPr>
                <w:sz w:val="22"/>
                <w:szCs w:val="22"/>
              </w:rPr>
              <w:t>12.8%</w:t>
            </w:r>
          </w:p>
        </w:tc>
        <w:tc>
          <w:tcPr>
            <w:tcW w:w="1506" w:type="dxa"/>
          </w:tcPr>
          <w:p w14:paraId="1116D9DF" w14:textId="77777777" w:rsidR="00501564" w:rsidRPr="00C4462E" w:rsidRDefault="00501564" w:rsidP="003C1616">
            <w:pPr>
              <w:jc w:val="right"/>
              <w:rPr>
                <w:sz w:val="22"/>
                <w:szCs w:val="22"/>
              </w:rPr>
            </w:pPr>
            <w:r w:rsidRPr="00C4462E">
              <w:rPr>
                <w:sz w:val="22"/>
                <w:szCs w:val="22"/>
              </w:rPr>
              <w:t>434</w:t>
            </w:r>
          </w:p>
        </w:tc>
        <w:tc>
          <w:tcPr>
            <w:tcW w:w="1506" w:type="dxa"/>
          </w:tcPr>
          <w:p w14:paraId="34B0F057" w14:textId="77777777" w:rsidR="00501564" w:rsidRPr="00C4462E" w:rsidRDefault="00501564" w:rsidP="003C1616">
            <w:pPr>
              <w:jc w:val="right"/>
              <w:rPr>
                <w:sz w:val="22"/>
                <w:szCs w:val="22"/>
              </w:rPr>
            </w:pPr>
            <w:r w:rsidRPr="00C4462E">
              <w:rPr>
                <w:sz w:val="22"/>
                <w:szCs w:val="22"/>
              </w:rPr>
              <w:t>604</w:t>
            </w:r>
          </w:p>
        </w:tc>
        <w:tc>
          <w:tcPr>
            <w:tcW w:w="1549" w:type="dxa"/>
          </w:tcPr>
          <w:p w14:paraId="03011985" w14:textId="77777777" w:rsidR="00501564" w:rsidRPr="00C4462E" w:rsidRDefault="00501564" w:rsidP="003C1616">
            <w:pPr>
              <w:jc w:val="right"/>
              <w:rPr>
                <w:sz w:val="22"/>
                <w:szCs w:val="22"/>
              </w:rPr>
            </w:pPr>
            <w:r w:rsidRPr="00C4462E">
              <w:rPr>
                <w:sz w:val="22"/>
                <w:szCs w:val="22"/>
              </w:rPr>
              <w:t>564</w:t>
            </w:r>
          </w:p>
        </w:tc>
        <w:tc>
          <w:tcPr>
            <w:tcW w:w="1539" w:type="dxa"/>
          </w:tcPr>
          <w:p w14:paraId="5C3CA39C" w14:textId="77777777" w:rsidR="00501564" w:rsidRPr="00C4462E" w:rsidRDefault="00501564" w:rsidP="003C1616">
            <w:pPr>
              <w:jc w:val="right"/>
              <w:rPr>
                <w:sz w:val="22"/>
                <w:szCs w:val="22"/>
              </w:rPr>
            </w:pPr>
            <w:r w:rsidRPr="00C4462E">
              <w:rPr>
                <w:sz w:val="22"/>
                <w:szCs w:val="22"/>
              </w:rPr>
              <w:t>746</w:t>
            </w:r>
          </w:p>
        </w:tc>
      </w:tr>
      <w:bookmarkEnd w:id="0"/>
    </w:tbl>
    <w:p w14:paraId="05F8BAE7" w14:textId="77777777" w:rsidR="000826DA" w:rsidRPr="00DB1B5B" w:rsidRDefault="000826DA" w:rsidP="00DB1B5B">
      <w:pPr>
        <w:jc w:val="both"/>
        <w:rPr>
          <w:sz w:val="22"/>
          <w:szCs w:val="22"/>
        </w:rPr>
      </w:pPr>
    </w:p>
    <w:p w14:paraId="07CD1CFD" w14:textId="4558807A" w:rsidR="0057411C" w:rsidRDefault="000826DA" w:rsidP="00D95969">
      <w:pPr>
        <w:pStyle w:val="ListParagraph"/>
        <w:numPr>
          <w:ilvl w:val="0"/>
          <w:numId w:val="32"/>
        </w:numPr>
        <w:jc w:val="both"/>
        <w:rPr>
          <w:sz w:val="22"/>
          <w:szCs w:val="22"/>
        </w:rPr>
      </w:pPr>
      <w:r w:rsidRPr="00B117E9">
        <w:rPr>
          <w:sz w:val="22"/>
          <w:szCs w:val="22"/>
        </w:rPr>
        <w:t>Cherwell District Council used this HENA for the report to their Overview and Scrutiny Committee on 11</w:t>
      </w:r>
      <w:r w:rsidRPr="00B117E9">
        <w:rPr>
          <w:sz w:val="22"/>
          <w:szCs w:val="22"/>
          <w:vertAlign w:val="superscript"/>
        </w:rPr>
        <w:t>th</w:t>
      </w:r>
      <w:r w:rsidRPr="00B117E9">
        <w:rPr>
          <w:sz w:val="22"/>
          <w:szCs w:val="22"/>
        </w:rPr>
        <w:t xml:space="preserve"> January 2023 and Executive on 19</w:t>
      </w:r>
      <w:r w:rsidRPr="00B117E9">
        <w:rPr>
          <w:sz w:val="22"/>
          <w:szCs w:val="22"/>
          <w:vertAlign w:val="superscript"/>
        </w:rPr>
        <w:t>th</w:t>
      </w:r>
      <w:r w:rsidRPr="00B117E9">
        <w:rPr>
          <w:sz w:val="22"/>
          <w:szCs w:val="22"/>
        </w:rPr>
        <w:t xml:space="preserve"> January 2023.  The recommendation was to also use the Cambridge Econometrics baseline trend figure </w:t>
      </w:r>
      <w:r w:rsidR="00E97769">
        <w:rPr>
          <w:sz w:val="22"/>
          <w:szCs w:val="22"/>
        </w:rPr>
        <w:t>and distribution above leading to</w:t>
      </w:r>
      <w:r w:rsidRPr="00B117E9">
        <w:rPr>
          <w:sz w:val="22"/>
          <w:szCs w:val="22"/>
        </w:rPr>
        <w:t xml:space="preserve"> 1,009 </w:t>
      </w:r>
      <w:proofErr w:type="spellStart"/>
      <w:r w:rsidRPr="00B117E9">
        <w:rPr>
          <w:sz w:val="22"/>
          <w:szCs w:val="22"/>
        </w:rPr>
        <w:t>dpa</w:t>
      </w:r>
      <w:proofErr w:type="spellEnd"/>
      <w:r w:rsidRPr="00B117E9">
        <w:rPr>
          <w:sz w:val="22"/>
          <w:szCs w:val="22"/>
        </w:rPr>
        <w:t xml:space="preserve"> as per Table 3</w:t>
      </w:r>
      <w:r w:rsidR="00B117E9">
        <w:rPr>
          <w:sz w:val="22"/>
          <w:szCs w:val="22"/>
        </w:rPr>
        <w:t xml:space="preserve">, </w:t>
      </w:r>
      <w:r w:rsidRPr="00B117E9">
        <w:rPr>
          <w:sz w:val="22"/>
          <w:szCs w:val="22"/>
        </w:rPr>
        <w:t>however a decision was deferred.</w:t>
      </w:r>
      <w:r w:rsidR="0057411C" w:rsidRPr="00B117E9">
        <w:rPr>
          <w:sz w:val="22"/>
          <w:szCs w:val="22"/>
        </w:rPr>
        <w:t xml:space="preserve">  It is possible that all five councils will adopt different approaches.</w:t>
      </w:r>
      <w:r w:rsidR="00B117E9" w:rsidRPr="00B117E9">
        <w:rPr>
          <w:sz w:val="22"/>
          <w:szCs w:val="22"/>
        </w:rPr>
        <w:t xml:space="preserve">  </w:t>
      </w:r>
    </w:p>
    <w:p w14:paraId="3EA79FDA" w14:textId="77777777" w:rsidR="00DB1B5B" w:rsidRDefault="00DB1B5B" w:rsidP="00DB1B5B">
      <w:pPr>
        <w:pStyle w:val="ListParagraph"/>
        <w:ind w:left="360"/>
        <w:jc w:val="both"/>
        <w:rPr>
          <w:sz w:val="22"/>
          <w:szCs w:val="22"/>
        </w:rPr>
      </w:pPr>
    </w:p>
    <w:p w14:paraId="0DB0AE7D" w14:textId="1DAFEA32" w:rsidR="00DB1B5B" w:rsidRPr="00DB1B5B" w:rsidRDefault="00DB1B5B" w:rsidP="00DB1B5B">
      <w:pPr>
        <w:pStyle w:val="ListParagraph"/>
        <w:numPr>
          <w:ilvl w:val="0"/>
          <w:numId w:val="32"/>
        </w:numPr>
        <w:jc w:val="both"/>
        <w:rPr>
          <w:sz w:val="22"/>
          <w:szCs w:val="22"/>
        </w:rPr>
      </w:pPr>
      <w:r w:rsidRPr="00C4462E">
        <w:rPr>
          <w:sz w:val="22"/>
          <w:szCs w:val="22"/>
        </w:rPr>
        <w:t xml:space="preserve">At this stage we are not convinced about </w:t>
      </w:r>
      <w:r>
        <w:rPr>
          <w:sz w:val="22"/>
          <w:szCs w:val="22"/>
        </w:rPr>
        <w:t>the proposal that housing growth should be</w:t>
      </w:r>
      <w:r w:rsidRPr="00C4462E">
        <w:rPr>
          <w:sz w:val="22"/>
          <w:szCs w:val="22"/>
        </w:rPr>
        <w:t xml:space="preserve"> based on which district the jobs are expected to be </w:t>
      </w:r>
      <w:proofErr w:type="gramStart"/>
      <w:r w:rsidRPr="00C4462E">
        <w:rPr>
          <w:sz w:val="22"/>
          <w:szCs w:val="22"/>
        </w:rPr>
        <w:t>in:</w:t>
      </w:r>
      <w:proofErr w:type="gramEnd"/>
      <w:r w:rsidRPr="00C4462E">
        <w:rPr>
          <w:sz w:val="22"/>
          <w:szCs w:val="22"/>
        </w:rPr>
        <w:t xml:space="preserve"> this may be too simplistic, </w:t>
      </w:r>
      <w:r>
        <w:rPr>
          <w:sz w:val="22"/>
          <w:szCs w:val="22"/>
        </w:rPr>
        <w:t>and not relate to</w:t>
      </w:r>
      <w:r w:rsidRPr="00C4462E">
        <w:rPr>
          <w:sz w:val="22"/>
          <w:szCs w:val="22"/>
        </w:rPr>
        <w:t xml:space="preserve"> the potential to travel sustainably with regard to the existence of infrastructure such as railway lines and secondary schools, and ignore other constraints.  </w:t>
      </w:r>
      <w:r>
        <w:rPr>
          <w:sz w:val="22"/>
          <w:szCs w:val="22"/>
        </w:rPr>
        <w:t xml:space="preserve">We seek that </w:t>
      </w:r>
      <w:r>
        <w:rPr>
          <w:sz w:val="22"/>
          <w:szCs w:val="22"/>
        </w:rPr>
        <w:lastRenderedPageBreak/>
        <w:t>any distribution be reflective of the need to promote development patterns that support the Oxfordshire Local Transport and Connectivity Plan</w:t>
      </w:r>
      <w:r w:rsidR="00C52DE6">
        <w:rPr>
          <w:sz w:val="22"/>
          <w:szCs w:val="22"/>
        </w:rPr>
        <w:t xml:space="preserve"> (LTCP)</w:t>
      </w:r>
      <w:r>
        <w:rPr>
          <w:sz w:val="22"/>
          <w:szCs w:val="22"/>
        </w:rPr>
        <w:t xml:space="preserve"> and other relevant policies. </w:t>
      </w:r>
    </w:p>
    <w:p w14:paraId="25114243" w14:textId="77777777" w:rsidR="00B117E9" w:rsidRPr="00B117E9" w:rsidRDefault="00B117E9" w:rsidP="00B117E9">
      <w:pPr>
        <w:pStyle w:val="ListParagraph"/>
        <w:ind w:left="360"/>
        <w:jc w:val="both"/>
        <w:rPr>
          <w:sz w:val="22"/>
          <w:szCs w:val="22"/>
        </w:rPr>
      </w:pPr>
    </w:p>
    <w:p w14:paraId="4615C53F" w14:textId="7E700EF8" w:rsidR="008749FC" w:rsidRDefault="0057411C" w:rsidP="00C3775C">
      <w:pPr>
        <w:pStyle w:val="ListParagraph"/>
        <w:numPr>
          <w:ilvl w:val="0"/>
          <w:numId w:val="32"/>
        </w:numPr>
        <w:jc w:val="both"/>
        <w:rPr>
          <w:sz w:val="22"/>
          <w:szCs w:val="22"/>
        </w:rPr>
      </w:pPr>
      <w:r w:rsidRPr="00B117E9">
        <w:rPr>
          <w:sz w:val="22"/>
          <w:szCs w:val="22"/>
        </w:rPr>
        <w:t>We understand that the Standard Method would result in the figures in Table 4.</w:t>
      </w:r>
      <w:r w:rsidR="00B117E9" w:rsidRPr="00B117E9">
        <w:rPr>
          <w:sz w:val="22"/>
          <w:szCs w:val="22"/>
        </w:rPr>
        <w:t xml:space="preserve"> This shows a figure of 762 </w:t>
      </w:r>
      <w:proofErr w:type="spellStart"/>
      <w:r w:rsidR="00B117E9" w:rsidRPr="00B117E9">
        <w:rPr>
          <w:sz w:val="22"/>
          <w:szCs w:val="22"/>
        </w:rPr>
        <w:t>dpa</w:t>
      </w:r>
      <w:proofErr w:type="spellEnd"/>
      <w:r w:rsidR="00B117E9" w:rsidRPr="00B117E9">
        <w:rPr>
          <w:sz w:val="22"/>
          <w:szCs w:val="22"/>
        </w:rPr>
        <w:t xml:space="preserve"> for Oxford City </w:t>
      </w:r>
      <w:proofErr w:type="gramStart"/>
      <w:r w:rsidR="00B117E9" w:rsidRPr="00B117E9">
        <w:rPr>
          <w:sz w:val="22"/>
          <w:szCs w:val="22"/>
        </w:rPr>
        <w:t>i.e.</w:t>
      </w:r>
      <w:proofErr w:type="gramEnd"/>
      <w:r w:rsidR="00B117E9" w:rsidRPr="00B117E9">
        <w:rPr>
          <w:sz w:val="22"/>
          <w:szCs w:val="22"/>
        </w:rPr>
        <w:t xml:space="preserve"> 15,240 dwellings 2020-2040. </w:t>
      </w:r>
    </w:p>
    <w:p w14:paraId="2BFB45FE" w14:textId="77777777" w:rsidR="00760B00" w:rsidRPr="00760B00" w:rsidRDefault="00760B00" w:rsidP="00760B00">
      <w:pPr>
        <w:jc w:val="both"/>
        <w:rPr>
          <w:sz w:val="22"/>
          <w:szCs w:val="22"/>
        </w:rPr>
      </w:pPr>
    </w:p>
    <w:p w14:paraId="462B25FE" w14:textId="60024BE0" w:rsidR="0057411C" w:rsidRPr="00C4462E" w:rsidRDefault="0057411C" w:rsidP="0057411C">
      <w:pPr>
        <w:jc w:val="both"/>
        <w:rPr>
          <w:sz w:val="22"/>
          <w:szCs w:val="22"/>
        </w:rPr>
      </w:pPr>
      <w:r w:rsidRPr="00C4462E">
        <w:rPr>
          <w:sz w:val="22"/>
          <w:szCs w:val="22"/>
        </w:rPr>
        <w:t xml:space="preserve">Table </w:t>
      </w:r>
      <w:r>
        <w:rPr>
          <w:sz w:val="22"/>
          <w:szCs w:val="22"/>
        </w:rPr>
        <w:t>4</w:t>
      </w:r>
      <w:r w:rsidRPr="00C4462E">
        <w:rPr>
          <w:sz w:val="22"/>
          <w:szCs w:val="22"/>
        </w:rPr>
        <w:t xml:space="preserve"> – Distribution of District Housing Need by </w:t>
      </w:r>
      <w:r>
        <w:rPr>
          <w:sz w:val="22"/>
          <w:szCs w:val="22"/>
        </w:rPr>
        <w:t>2014 based Standard Method</w:t>
      </w:r>
    </w:p>
    <w:tbl>
      <w:tblPr>
        <w:tblStyle w:val="TableGrid"/>
        <w:tblW w:w="0" w:type="auto"/>
        <w:tblLook w:val="04A0" w:firstRow="1" w:lastRow="0" w:firstColumn="1" w:lastColumn="0" w:noHBand="0" w:noVBand="1"/>
      </w:tblPr>
      <w:tblGrid>
        <w:gridCol w:w="2943"/>
        <w:gridCol w:w="2127"/>
        <w:gridCol w:w="4110"/>
      </w:tblGrid>
      <w:tr w:rsidR="0057411C" w:rsidRPr="00C4462E" w14:paraId="6F4DF084" w14:textId="77777777" w:rsidTr="0057411C">
        <w:tc>
          <w:tcPr>
            <w:tcW w:w="5070" w:type="dxa"/>
            <w:gridSpan w:val="2"/>
          </w:tcPr>
          <w:p w14:paraId="6976ABCD" w14:textId="2C3EDDB6" w:rsidR="0057411C" w:rsidRPr="00C4462E" w:rsidRDefault="0057411C" w:rsidP="000031A6">
            <w:pPr>
              <w:rPr>
                <w:sz w:val="22"/>
                <w:szCs w:val="22"/>
              </w:rPr>
            </w:pPr>
            <w:r>
              <w:rPr>
                <w:sz w:val="22"/>
                <w:szCs w:val="22"/>
              </w:rPr>
              <w:t>2014 Based Standard Method Distribution</w:t>
            </w:r>
          </w:p>
        </w:tc>
        <w:tc>
          <w:tcPr>
            <w:tcW w:w="4110" w:type="dxa"/>
          </w:tcPr>
          <w:p w14:paraId="08A9B8F5" w14:textId="77777777" w:rsidR="0057411C" w:rsidRPr="00C4462E" w:rsidRDefault="0057411C" w:rsidP="000031A6">
            <w:pPr>
              <w:jc w:val="center"/>
              <w:rPr>
                <w:sz w:val="22"/>
                <w:szCs w:val="22"/>
              </w:rPr>
            </w:pPr>
            <w:r w:rsidRPr="00C4462E">
              <w:rPr>
                <w:sz w:val="22"/>
                <w:szCs w:val="22"/>
              </w:rPr>
              <w:t>Standard Method</w:t>
            </w:r>
          </w:p>
        </w:tc>
      </w:tr>
      <w:tr w:rsidR="0057411C" w:rsidRPr="00C4462E" w14:paraId="47C072FB" w14:textId="77777777" w:rsidTr="0057411C">
        <w:tc>
          <w:tcPr>
            <w:tcW w:w="2943" w:type="dxa"/>
          </w:tcPr>
          <w:p w14:paraId="1C10EE6B" w14:textId="77777777" w:rsidR="0057411C" w:rsidRPr="00C4462E" w:rsidRDefault="0057411C" w:rsidP="000031A6">
            <w:pPr>
              <w:rPr>
                <w:sz w:val="22"/>
                <w:szCs w:val="22"/>
              </w:rPr>
            </w:pPr>
            <w:r w:rsidRPr="00C4462E">
              <w:rPr>
                <w:sz w:val="22"/>
                <w:szCs w:val="22"/>
              </w:rPr>
              <w:t>Oxfordshire</w:t>
            </w:r>
          </w:p>
        </w:tc>
        <w:tc>
          <w:tcPr>
            <w:tcW w:w="2127" w:type="dxa"/>
          </w:tcPr>
          <w:p w14:paraId="50973917" w14:textId="77777777" w:rsidR="0057411C" w:rsidRPr="00C4462E" w:rsidRDefault="0057411C" w:rsidP="000031A6">
            <w:pPr>
              <w:rPr>
                <w:sz w:val="22"/>
                <w:szCs w:val="22"/>
              </w:rPr>
            </w:pPr>
            <w:r w:rsidRPr="00C4462E">
              <w:rPr>
                <w:sz w:val="22"/>
                <w:szCs w:val="22"/>
              </w:rPr>
              <w:t>100%</w:t>
            </w:r>
          </w:p>
        </w:tc>
        <w:tc>
          <w:tcPr>
            <w:tcW w:w="4110" w:type="dxa"/>
          </w:tcPr>
          <w:p w14:paraId="5476065D" w14:textId="77777777" w:rsidR="0057411C" w:rsidRPr="00C4462E" w:rsidRDefault="0057411C" w:rsidP="000031A6">
            <w:pPr>
              <w:jc w:val="right"/>
              <w:rPr>
                <w:sz w:val="22"/>
                <w:szCs w:val="22"/>
              </w:rPr>
            </w:pPr>
            <w:r w:rsidRPr="00C4462E">
              <w:rPr>
                <w:sz w:val="22"/>
                <w:szCs w:val="22"/>
              </w:rPr>
              <w:t>3,388</w:t>
            </w:r>
          </w:p>
        </w:tc>
      </w:tr>
      <w:tr w:rsidR="0057411C" w:rsidRPr="00C4462E" w14:paraId="625510AB" w14:textId="77777777" w:rsidTr="0057411C">
        <w:tc>
          <w:tcPr>
            <w:tcW w:w="2943" w:type="dxa"/>
          </w:tcPr>
          <w:p w14:paraId="3D07D0D7" w14:textId="77777777" w:rsidR="0057411C" w:rsidRPr="00C4462E" w:rsidRDefault="0057411C" w:rsidP="000031A6">
            <w:pPr>
              <w:rPr>
                <w:sz w:val="22"/>
                <w:szCs w:val="22"/>
              </w:rPr>
            </w:pPr>
            <w:r w:rsidRPr="00C4462E">
              <w:rPr>
                <w:sz w:val="22"/>
                <w:szCs w:val="22"/>
              </w:rPr>
              <w:t>Cherwell</w:t>
            </w:r>
          </w:p>
        </w:tc>
        <w:tc>
          <w:tcPr>
            <w:tcW w:w="2127" w:type="dxa"/>
          </w:tcPr>
          <w:p w14:paraId="6FE390C9" w14:textId="1D590550" w:rsidR="0057411C" w:rsidRPr="00C4462E" w:rsidRDefault="0057411C" w:rsidP="000031A6">
            <w:pPr>
              <w:rPr>
                <w:sz w:val="22"/>
                <w:szCs w:val="22"/>
              </w:rPr>
            </w:pPr>
            <w:r w:rsidRPr="00C4462E">
              <w:rPr>
                <w:sz w:val="22"/>
                <w:szCs w:val="22"/>
              </w:rPr>
              <w:t>2</w:t>
            </w:r>
            <w:r>
              <w:rPr>
                <w:sz w:val="22"/>
                <w:szCs w:val="22"/>
              </w:rPr>
              <w:t>1</w:t>
            </w:r>
            <w:r w:rsidRPr="00C4462E">
              <w:rPr>
                <w:sz w:val="22"/>
                <w:szCs w:val="22"/>
              </w:rPr>
              <w:t>.9%</w:t>
            </w:r>
          </w:p>
        </w:tc>
        <w:tc>
          <w:tcPr>
            <w:tcW w:w="4110" w:type="dxa"/>
          </w:tcPr>
          <w:p w14:paraId="08365035" w14:textId="79736B2B" w:rsidR="0057411C" w:rsidRPr="00C4462E" w:rsidRDefault="0057411C" w:rsidP="000031A6">
            <w:pPr>
              <w:jc w:val="right"/>
              <w:rPr>
                <w:sz w:val="22"/>
                <w:szCs w:val="22"/>
              </w:rPr>
            </w:pPr>
            <w:r w:rsidRPr="00C4462E">
              <w:rPr>
                <w:sz w:val="22"/>
                <w:szCs w:val="22"/>
              </w:rPr>
              <w:t>7</w:t>
            </w:r>
            <w:r>
              <w:rPr>
                <w:sz w:val="22"/>
                <w:szCs w:val="22"/>
              </w:rPr>
              <w:t>42</w:t>
            </w:r>
          </w:p>
        </w:tc>
      </w:tr>
      <w:tr w:rsidR="0057411C" w:rsidRPr="00C4462E" w14:paraId="5A96184B" w14:textId="77777777" w:rsidTr="0057411C">
        <w:tc>
          <w:tcPr>
            <w:tcW w:w="2943" w:type="dxa"/>
          </w:tcPr>
          <w:p w14:paraId="746D6D06" w14:textId="77777777" w:rsidR="0057411C" w:rsidRPr="00C4462E" w:rsidRDefault="0057411C" w:rsidP="000031A6">
            <w:pPr>
              <w:rPr>
                <w:sz w:val="22"/>
                <w:szCs w:val="22"/>
              </w:rPr>
            </w:pPr>
            <w:r w:rsidRPr="00C4462E">
              <w:rPr>
                <w:sz w:val="22"/>
                <w:szCs w:val="22"/>
              </w:rPr>
              <w:t>Oxford City</w:t>
            </w:r>
          </w:p>
        </w:tc>
        <w:tc>
          <w:tcPr>
            <w:tcW w:w="2127" w:type="dxa"/>
          </w:tcPr>
          <w:p w14:paraId="24FC7784" w14:textId="796ACC67" w:rsidR="0057411C" w:rsidRPr="00C4462E" w:rsidRDefault="0057411C" w:rsidP="000031A6">
            <w:pPr>
              <w:rPr>
                <w:sz w:val="22"/>
                <w:szCs w:val="22"/>
              </w:rPr>
            </w:pPr>
            <w:r>
              <w:rPr>
                <w:sz w:val="22"/>
                <w:szCs w:val="22"/>
              </w:rPr>
              <w:t>22.5</w:t>
            </w:r>
            <w:r w:rsidRPr="00C4462E">
              <w:rPr>
                <w:sz w:val="22"/>
                <w:szCs w:val="22"/>
              </w:rPr>
              <w:t>%</w:t>
            </w:r>
          </w:p>
        </w:tc>
        <w:tc>
          <w:tcPr>
            <w:tcW w:w="4110" w:type="dxa"/>
          </w:tcPr>
          <w:p w14:paraId="0481D202" w14:textId="19841BDF" w:rsidR="0057411C" w:rsidRPr="00C4462E" w:rsidRDefault="0057411C" w:rsidP="000031A6">
            <w:pPr>
              <w:jc w:val="right"/>
              <w:rPr>
                <w:sz w:val="22"/>
                <w:szCs w:val="22"/>
              </w:rPr>
            </w:pPr>
            <w:r>
              <w:rPr>
                <w:sz w:val="22"/>
                <w:szCs w:val="22"/>
              </w:rPr>
              <w:t>762</w:t>
            </w:r>
          </w:p>
        </w:tc>
      </w:tr>
      <w:tr w:rsidR="0057411C" w:rsidRPr="00C4462E" w14:paraId="44A3A9C4" w14:textId="77777777" w:rsidTr="0057411C">
        <w:tc>
          <w:tcPr>
            <w:tcW w:w="2943" w:type="dxa"/>
          </w:tcPr>
          <w:p w14:paraId="4B2ECE69" w14:textId="77777777" w:rsidR="0057411C" w:rsidRPr="00C4462E" w:rsidRDefault="0057411C" w:rsidP="000031A6">
            <w:pPr>
              <w:rPr>
                <w:sz w:val="22"/>
                <w:szCs w:val="22"/>
              </w:rPr>
            </w:pPr>
            <w:r w:rsidRPr="00C4462E">
              <w:rPr>
                <w:sz w:val="22"/>
                <w:szCs w:val="22"/>
              </w:rPr>
              <w:t>South Oxfordshire</w:t>
            </w:r>
          </w:p>
        </w:tc>
        <w:tc>
          <w:tcPr>
            <w:tcW w:w="2127" w:type="dxa"/>
          </w:tcPr>
          <w:p w14:paraId="5DB171D4" w14:textId="0CE2361A" w:rsidR="0057411C" w:rsidRPr="00C4462E" w:rsidRDefault="0057411C" w:rsidP="000031A6">
            <w:pPr>
              <w:rPr>
                <w:sz w:val="22"/>
                <w:szCs w:val="22"/>
              </w:rPr>
            </w:pPr>
            <w:r w:rsidRPr="00C4462E">
              <w:rPr>
                <w:sz w:val="22"/>
                <w:szCs w:val="22"/>
              </w:rPr>
              <w:t>18</w:t>
            </w:r>
            <w:r>
              <w:rPr>
                <w:sz w:val="22"/>
                <w:szCs w:val="22"/>
              </w:rPr>
              <w:t>.9</w:t>
            </w:r>
            <w:r w:rsidRPr="00C4462E">
              <w:rPr>
                <w:sz w:val="22"/>
                <w:szCs w:val="22"/>
              </w:rPr>
              <w:t>%</w:t>
            </w:r>
          </w:p>
        </w:tc>
        <w:tc>
          <w:tcPr>
            <w:tcW w:w="4110" w:type="dxa"/>
          </w:tcPr>
          <w:p w14:paraId="7B68AA21" w14:textId="6EB37179" w:rsidR="0057411C" w:rsidRPr="00C4462E" w:rsidRDefault="0057411C" w:rsidP="000031A6">
            <w:pPr>
              <w:jc w:val="right"/>
              <w:rPr>
                <w:sz w:val="22"/>
                <w:szCs w:val="22"/>
              </w:rPr>
            </w:pPr>
            <w:r w:rsidRPr="00C4462E">
              <w:rPr>
                <w:sz w:val="22"/>
                <w:szCs w:val="22"/>
              </w:rPr>
              <w:t>6</w:t>
            </w:r>
            <w:r>
              <w:rPr>
                <w:sz w:val="22"/>
                <w:szCs w:val="22"/>
              </w:rPr>
              <w:t>41</w:t>
            </w:r>
          </w:p>
        </w:tc>
      </w:tr>
      <w:tr w:rsidR="0057411C" w:rsidRPr="00C4462E" w14:paraId="3435DEFB" w14:textId="77777777" w:rsidTr="0057411C">
        <w:tc>
          <w:tcPr>
            <w:tcW w:w="2943" w:type="dxa"/>
          </w:tcPr>
          <w:p w14:paraId="55B499FF" w14:textId="77777777" w:rsidR="0057411C" w:rsidRPr="00C4462E" w:rsidRDefault="0057411C" w:rsidP="000031A6">
            <w:pPr>
              <w:rPr>
                <w:sz w:val="22"/>
                <w:szCs w:val="22"/>
              </w:rPr>
            </w:pPr>
            <w:r w:rsidRPr="00C4462E">
              <w:rPr>
                <w:sz w:val="22"/>
                <w:szCs w:val="22"/>
              </w:rPr>
              <w:t>Vale of White Horse</w:t>
            </w:r>
          </w:p>
        </w:tc>
        <w:tc>
          <w:tcPr>
            <w:tcW w:w="2127" w:type="dxa"/>
          </w:tcPr>
          <w:p w14:paraId="0C84A4A8" w14:textId="1F429510" w:rsidR="0057411C" w:rsidRPr="00C4462E" w:rsidRDefault="0057411C" w:rsidP="000031A6">
            <w:pPr>
              <w:rPr>
                <w:sz w:val="22"/>
                <w:szCs w:val="22"/>
              </w:rPr>
            </w:pPr>
            <w:r w:rsidRPr="00C4462E">
              <w:rPr>
                <w:sz w:val="22"/>
                <w:szCs w:val="22"/>
              </w:rPr>
              <w:t>1</w:t>
            </w:r>
            <w:r>
              <w:rPr>
                <w:sz w:val="22"/>
                <w:szCs w:val="22"/>
              </w:rPr>
              <w:t>9.5</w:t>
            </w:r>
            <w:r w:rsidRPr="00C4462E">
              <w:rPr>
                <w:sz w:val="22"/>
                <w:szCs w:val="22"/>
              </w:rPr>
              <w:t>%</w:t>
            </w:r>
          </w:p>
        </w:tc>
        <w:tc>
          <w:tcPr>
            <w:tcW w:w="4110" w:type="dxa"/>
          </w:tcPr>
          <w:p w14:paraId="57AD6C6A" w14:textId="6B22F97B" w:rsidR="0057411C" w:rsidRPr="00C4462E" w:rsidRDefault="0057411C" w:rsidP="000031A6">
            <w:pPr>
              <w:jc w:val="right"/>
              <w:rPr>
                <w:sz w:val="22"/>
                <w:szCs w:val="22"/>
              </w:rPr>
            </w:pPr>
            <w:r>
              <w:rPr>
                <w:sz w:val="22"/>
                <w:szCs w:val="22"/>
              </w:rPr>
              <w:t>661</w:t>
            </w:r>
          </w:p>
        </w:tc>
      </w:tr>
      <w:tr w:rsidR="0057411C" w:rsidRPr="00C4462E" w14:paraId="431B4BC4" w14:textId="77777777" w:rsidTr="0057411C">
        <w:tc>
          <w:tcPr>
            <w:tcW w:w="2943" w:type="dxa"/>
          </w:tcPr>
          <w:p w14:paraId="11B80F77" w14:textId="77777777" w:rsidR="0057411C" w:rsidRPr="00C4462E" w:rsidRDefault="0057411C" w:rsidP="000031A6">
            <w:pPr>
              <w:rPr>
                <w:sz w:val="22"/>
                <w:szCs w:val="22"/>
              </w:rPr>
            </w:pPr>
            <w:r w:rsidRPr="00C4462E">
              <w:rPr>
                <w:sz w:val="22"/>
                <w:szCs w:val="22"/>
              </w:rPr>
              <w:t>West Oxfordshire</w:t>
            </w:r>
          </w:p>
        </w:tc>
        <w:tc>
          <w:tcPr>
            <w:tcW w:w="2127" w:type="dxa"/>
          </w:tcPr>
          <w:p w14:paraId="5D35F842" w14:textId="4362A584" w:rsidR="0057411C" w:rsidRPr="00C4462E" w:rsidRDefault="0057411C" w:rsidP="000031A6">
            <w:pPr>
              <w:rPr>
                <w:sz w:val="22"/>
                <w:szCs w:val="22"/>
              </w:rPr>
            </w:pPr>
            <w:r w:rsidRPr="00C4462E">
              <w:rPr>
                <w:sz w:val="22"/>
                <w:szCs w:val="22"/>
              </w:rPr>
              <w:t>1</w:t>
            </w:r>
            <w:r>
              <w:rPr>
                <w:sz w:val="22"/>
                <w:szCs w:val="22"/>
              </w:rPr>
              <w:t>7.2</w:t>
            </w:r>
            <w:r w:rsidRPr="00C4462E">
              <w:rPr>
                <w:sz w:val="22"/>
                <w:szCs w:val="22"/>
              </w:rPr>
              <w:t>%</w:t>
            </w:r>
          </w:p>
        </w:tc>
        <w:tc>
          <w:tcPr>
            <w:tcW w:w="4110" w:type="dxa"/>
          </w:tcPr>
          <w:p w14:paraId="7A81E65F" w14:textId="3FB8CAE8" w:rsidR="0057411C" w:rsidRPr="00C4462E" w:rsidRDefault="0057411C" w:rsidP="000031A6">
            <w:pPr>
              <w:jc w:val="right"/>
              <w:rPr>
                <w:sz w:val="22"/>
                <w:szCs w:val="22"/>
              </w:rPr>
            </w:pPr>
            <w:r>
              <w:rPr>
                <w:sz w:val="22"/>
                <w:szCs w:val="22"/>
              </w:rPr>
              <w:t>582</w:t>
            </w:r>
          </w:p>
        </w:tc>
      </w:tr>
    </w:tbl>
    <w:p w14:paraId="36AEDC43" w14:textId="77777777" w:rsidR="00DB08EB" w:rsidRPr="00C4462E" w:rsidRDefault="00DB08EB" w:rsidP="00BC6C0D">
      <w:pPr>
        <w:rPr>
          <w:sz w:val="22"/>
          <w:szCs w:val="22"/>
        </w:rPr>
      </w:pPr>
    </w:p>
    <w:p w14:paraId="69B2F6FB" w14:textId="0CC520E2" w:rsidR="00E36886" w:rsidRPr="00C4462E" w:rsidRDefault="00E36886" w:rsidP="00F07B51">
      <w:pPr>
        <w:pStyle w:val="ListParagraph"/>
        <w:numPr>
          <w:ilvl w:val="0"/>
          <w:numId w:val="32"/>
        </w:numPr>
        <w:jc w:val="both"/>
        <w:rPr>
          <w:sz w:val="22"/>
          <w:szCs w:val="22"/>
        </w:rPr>
      </w:pPr>
      <w:r w:rsidRPr="00C4462E">
        <w:rPr>
          <w:sz w:val="22"/>
          <w:szCs w:val="22"/>
        </w:rPr>
        <w:t xml:space="preserve">We are concerned at the implications from choosing firstly a scenario with higher figures than the Standard Method, then a distribution which </w:t>
      </w:r>
      <w:r w:rsidR="0057411C">
        <w:rPr>
          <w:sz w:val="22"/>
          <w:szCs w:val="22"/>
        </w:rPr>
        <w:t xml:space="preserve">deviates from the Standard Method and </w:t>
      </w:r>
      <w:r w:rsidRPr="00C4462E">
        <w:rPr>
          <w:sz w:val="22"/>
          <w:szCs w:val="22"/>
        </w:rPr>
        <w:t xml:space="preserve">results in higher figures of need for Oxford City than other options.  </w:t>
      </w:r>
      <w:r w:rsidR="00B117E9">
        <w:rPr>
          <w:sz w:val="22"/>
          <w:szCs w:val="22"/>
        </w:rPr>
        <w:t>Further comments are set out below</w:t>
      </w:r>
      <w:r w:rsidRPr="00C4462E">
        <w:rPr>
          <w:sz w:val="22"/>
          <w:szCs w:val="22"/>
        </w:rPr>
        <w:t xml:space="preserve"> in answer to </w:t>
      </w:r>
      <w:r w:rsidR="00B117E9">
        <w:rPr>
          <w:sz w:val="22"/>
          <w:szCs w:val="22"/>
        </w:rPr>
        <w:t>Q8</w:t>
      </w:r>
      <w:r w:rsidRPr="00C4462E">
        <w:rPr>
          <w:sz w:val="22"/>
          <w:szCs w:val="22"/>
        </w:rPr>
        <w:t xml:space="preserve">. </w:t>
      </w:r>
    </w:p>
    <w:p w14:paraId="513FCF99" w14:textId="018B4450" w:rsidR="00C7161C" w:rsidRDefault="00C7161C" w:rsidP="00C7161C">
      <w:pPr>
        <w:pStyle w:val="ListParagraph"/>
        <w:rPr>
          <w:sz w:val="22"/>
          <w:szCs w:val="22"/>
        </w:rPr>
      </w:pPr>
    </w:p>
    <w:p w14:paraId="56C86C1B" w14:textId="77777777" w:rsidR="00B117E9" w:rsidRPr="00C4462E" w:rsidRDefault="00B117E9" w:rsidP="00C7161C">
      <w:pPr>
        <w:pStyle w:val="ListParagraph"/>
        <w:rPr>
          <w:sz w:val="22"/>
          <w:szCs w:val="22"/>
        </w:rPr>
      </w:pPr>
    </w:p>
    <w:p w14:paraId="0C543BEB" w14:textId="1D62356A" w:rsidR="00C7161C" w:rsidRPr="00C4462E" w:rsidRDefault="00C7161C" w:rsidP="00C7161C">
      <w:pPr>
        <w:jc w:val="both"/>
        <w:rPr>
          <w:b/>
          <w:bCs/>
          <w:sz w:val="22"/>
          <w:szCs w:val="22"/>
        </w:rPr>
      </w:pPr>
      <w:r w:rsidRPr="00C4462E">
        <w:rPr>
          <w:b/>
          <w:bCs/>
          <w:sz w:val="22"/>
          <w:szCs w:val="22"/>
        </w:rPr>
        <w:t>Specialist and Affordable Housing</w:t>
      </w:r>
    </w:p>
    <w:p w14:paraId="74A1A1E6" w14:textId="77777777" w:rsidR="00067A7B" w:rsidRPr="00C4462E" w:rsidRDefault="00067A7B" w:rsidP="00F07B51">
      <w:pPr>
        <w:jc w:val="both"/>
        <w:rPr>
          <w:sz w:val="22"/>
          <w:szCs w:val="22"/>
        </w:rPr>
      </w:pPr>
    </w:p>
    <w:p w14:paraId="1E747462" w14:textId="769D3F97" w:rsidR="00067A7B" w:rsidRPr="00C4462E" w:rsidRDefault="00067A7B" w:rsidP="00F07B51">
      <w:pPr>
        <w:jc w:val="both"/>
        <w:rPr>
          <w:sz w:val="22"/>
          <w:szCs w:val="22"/>
        </w:rPr>
      </w:pPr>
      <w:r w:rsidRPr="00C4462E">
        <w:rPr>
          <w:b/>
          <w:bCs/>
          <w:sz w:val="22"/>
          <w:szCs w:val="22"/>
        </w:rPr>
        <w:t>Q6-</w:t>
      </w:r>
      <w:r w:rsidRPr="00C4462E">
        <w:rPr>
          <w:sz w:val="22"/>
          <w:szCs w:val="22"/>
        </w:rPr>
        <w:t>Do you have any comments about the housing mix including the need for specialist housing and affordable housing?</w:t>
      </w:r>
    </w:p>
    <w:p w14:paraId="099D6B69" w14:textId="772E4FD1" w:rsidR="00067A7B" w:rsidRPr="00C4462E" w:rsidRDefault="00067A7B" w:rsidP="00F07B51">
      <w:pPr>
        <w:jc w:val="both"/>
        <w:rPr>
          <w:sz w:val="22"/>
          <w:szCs w:val="22"/>
        </w:rPr>
      </w:pPr>
    </w:p>
    <w:p w14:paraId="0B35AB53" w14:textId="7B5AF555" w:rsidR="00203D84" w:rsidRPr="007C7650" w:rsidRDefault="00067A7B" w:rsidP="0069175A">
      <w:pPr>
        <w:pStyle w:val="ListParagraph"/>
        <w:numPr>
          <w:ilvl w:val="0"/>
          <w:numId w:val="32"/>
        </w:numPr>
        <w:jc w:val="both"/>
        <w:rPr>
          <w:sz w:val="22"/>
          <w:szCs w:val="22"/>
        </w:rPr>
      </w:pPr>
      <w:r w:rsidRPr="007C7650">
        <w:rPr>
          <w:sz w:val="22"/>
          <w:szCs w:val="22"/>
        </w:rPr>
        <w:t>The document indicates a high need for affordable housing</w:t>
      </w:r>
      <w:r w:rsidR="00203D84" w:rsidRPr="007C7650">
        <w:rPr>
          <w:sz w:val="22"/>
          <w:szCs w:val="22"/>
        </w:rPr>
        <w:t>.  Given the high need, it is not a determining factor of the total requirement.</w:t>
      </w:r>
      <w:r w:rsidR="00C7161C" w:rsidRPr="007C7650">
        <w:rPr>
          <w:sz w:val="22"/>
          <w:szCs w:val="22"/>
        </w:rPr>
        <w:t xml:space="preserve">  If the assessed full need for affordable housing was required</w:t>
      </w:r>
      <w:r w:rsidR="00C52DE6" w:rsidRPr="007C7650">
        <w:rPr>
          <w:sz w:val="22"/>
          <w:szCs w:val="22"/>
        </w:rPr>
        <w:t xml:space="preserve"> on development sites</w:t>
      </w:r>
      <w:r w:rsidR="00C7161C" w:rsidRPr="007C7650">
        <w:rPr>
          <w:sz w:val="22"/>
          <w:szCs w:val="22"/>
        </w:rPr>
        <w:t xml:space="preserve">, then private development would likely be unviable. </w:t>
      </w:r>
      <w:r w:rsidR="000A0452" w:rsidRPr="007C7650">
        <w:rPr>
          <w:sz w:val="22"/>
          <w:szCs w:val="22"/>
        </w:rPr>
        <w:t xml:space="preserve"> The amount of affordable housing needed </w:t>
      </w:r>
      <w:r w:rsidR="007C7650" w:rsidRPr="007C7650">
        <w:rPr>
          <w:sz w:val="22"/>
          <w:szCs w:val="22"/>
        </w:rPr>
        <w:t>has not kept pace with need in recent decades due to the way it is funded</w:t>
      </w:r>
      <w:r w:rsidR="007C7650">
        <w:rPr>
          <w:sz w:val="22"/>
          <w:szCs w:val="22"/>
        </w:rPr>
        <w:t xml:space="preserve">, in fact it has declined in </w:t>
      </w:r>
      <w:r w:rsidR="007C7650" w:rsidRPr="007C7650">
        <w:rPr>
          <w:sz w:val="22"/>
          <w:szCs w:val="22"/>
        </w:rPr>
        <w:t xml:space="preserve">England overall (see </w:t>
      </w:r>
      <w:hyperlink r:id="rId13" w:history="1">
        <w:r w:rsidR="007C7650" w:rsidRPr="007C7650">
          <w:rPr>
            <w:rStyle w:val="Hyperlink"/>
            <w:color w:val="auto"/>
            <w:sz w:val="22"/>
            <w:szCs w:val="22"/>
          </w:rPr>
          <w:t>Shelter’s Social Housing Deficit webpage</w:t>
        </w:r>
      </w:hyperlink>
      <w:r w:rsidR="007C7650" w:rsidRPr="007C7650">
        <w:rPr>
          <w:sz w:val="22"/>
          <w:szCs w:val="22"/>
        </w:rPr>
        <w:t xml:space="preserve">). </w:t>
      </w:r>
    </w:p>
    <w:p w14:paraId="55AB4A3C" w14:textId="77777777" w:rsidR="007C7650" w:rsidRPr="007C7650" w:rsidRDefault="007C7650" w:rsidP="007C7650">
      <w:pPr>
        <w:pStyle w:val="ListParagraph"/>
        <w:ind w:left="360"/>
        <w:jc w:val="both"/>
        <w:rPr>
          <w:sz w:val="22"/>
          <w:szCs w:val="22"/>
        </w:rPr>
      </w:pPr>
    </w:p>
    <w:p w14:paraId="13C7FEDD" w14:textId="791E308D" w:rsidR="00067A7B" w:rsidRPr="00C4462E" w:rsidRDefault="00C7161C" w:rsidP="00F07B51">
      <w:pPr>
        <w:pStyle w:val="ListParagraph"/>
        <w:numPr>
          <w:ilvl w:val="0"/>
          <w:numId w:val="32"/>
        </w:numPr>
        <w:jc w:val="both"/>
        <w:rPr>
          <w:sz w:val="22"/>
          <w:szCs w:val="22"/>
        </w:rPr>
      </w:pPr>
      <w:r w:rsidRPr="00C4462E">
        <w:rPr>
          <w:sz w:val="22"/>
          <w:szCs w:val="22"/>
        </w:rPr>
        <w:t>There is also</w:t>
      </w:r>
      <w:r w:rsidR="00203D84" w:rsidRPr="00C4462E">
        <w:rPr>
          <w:sz w:val="22"/>
          <w:szCs w:val="22"/>
        </w:rPr>
        <w:t xml:space="preserve"> a high need for one and two-bedroom properties</w:t>
      </w:r>
      <w:r w:rsidRPr="00C4462E">
        <w:rPr>
          <w:sz w:val="22"/>
          <w:szCs w:val="22"/>
        </w:rPr>
        <w:t xml:space="preserve"> indicated</w:t>
      </w:r>
      <w:r w:rsidR="00203D84" w:rsidRPr="00C4462E">
        <w:rPr>
          <w:sz w:val="22"/>
          <w:szCs w:val="22"/>
        </w:rPr>
        <w:t xml:space="preserve">, especially in the affordable housing sector.  As stated in our response to the last consultation (copied in 1-e above) the County Council is supportive of providing for more one and two-bedroom dwellings to provide for those moving out of supported accommodation and for </w:t>
      </w:r>
      <w:r w:rsidRPr="00C4462E">
        <w:rPr>
          <w:sz w:val="22"/>
          <w:szCs w:val="22"/>
        </w:rPr>
        <w:t xml:space="preserve">residents who are </w:t>
      </w:r>
      <w:r w:rsidR="00203D84" w:rsidRPr="00C4462E">
        <w:rPr>
          <w:sz w:val="22"/>
          <w:szCs w:val="22"/>
        </w:rPr>
        <w:t xml:space="preserve">down-sizing. </w:t>
      </w:r>
    </w:p>
    <w:p w14:paraId="17A169E1" w14:textId="77777777" w:rsidR="005B429B" w:rsidRPr="00C4462E" w:rsidRDefault="005B429B" w:rsidP="00F07B51">
      <w:pPr>
        <w:pStyle w:val="ListParagraph"/>
        <w:jc w:val="both"/>
        <w:rPr>
          <w:sz w:val="22"/>
          <w:szCs w:val="22"/>
        </w:rPr>
      </w:pPr>
    </w:p>
    <w:p w14:paraId="44C012E3" w14:textId="3A15FFFD" w:rsidR="005B429B" w:rsidRPr="00C4462E" w:rsidRDefault="00C7161C" w:rsidP="00F07B51">
      <w:pPr>
        <w:pStyle w:val="ListParagraph"/>
        <w:numPr>
          <w:ilvl w:val="0"/>
          <w:numId w:val="32"/>
        </w:numPr>
        <w:jc w:val="both"/>
        <w:rPr>
          <w:sz w:val="22"/>
          <w:szCs w:val="22"/>
        </w:rPr>
      </w:pPr>
      <w:r w:rsidRPr="00C4462E">
        <w:rPr>
          <w:sz w:val="22"/>
          <w:szCs w:val="22"/>
        </w:rPr>
        <w:t>In respect of</w:t>
      </w:r>
      <w:r w:rsidR="005B429B" w:rsidRPr="00C4462E">
        <w:rPr>
          <w:sz w:val="22"/>
          <w:szCs w:val="22"/>
        </w:rPr>
        <w:t xml:space="preserve"> older and disabled persons housing need</w:t>
      </w:r>
      <w:r w:rsidR="00DE7C47" w:rsidRPr="00C4462E">
        <w:rPr>
          <w:sz w:val="22"/>
          <w:szCs w:val="22"/>
        </w:rPr>
        <w:t>,</w:t>
      </w:r>
      <w:r w:rsidR="005B429B" w:rsidRPr="00C4462E">
        <w:rPr>
          <w:sz w:val="22"/>
          <w:szCs w:val="22"/>
        </w:rPr>
        <w:t xml:space="preserve"> </w:t>
      </w:r>
      <w:r w:rsidRPr="00C4462E">
        <w:rPr>
          <w:sz w:val="22"/>
          <w:szCs w:val="22"/>
        </w:rPr>
        <w:t xml:space="preserve">the assessment is that there </w:t>
      </w:r>
      <w:r w:rsidR="005B429B" w:rsidRPr="00C4462E">
        <w:rPr>
          <w:sz w:val="22"/>
          <w:szCs w:val="22"/>
        </w:rPr>
        <w:t xml:space="preserve">remains a significant future need. However, the </w:t>
      </w:r>
      <w:r w:rsidR="00611D90" w:rsidRPr="00C4462E">
        <w:rPr>
          <w:sz w:val="22"/>
          <w:szCs w:val="22"/>
        </w:rPr>
        <w:t xml:space="preserve">consultation </w:t>
      </w:r>
      <w:r w:rsidR="005B429B" w:rsidRPr="00C4462E">
        <w:rPr>
          <w:sz w:val="22"/>
          <w:szCs w:val="22"/>
        </w:rPr>
        <w:t xml:space="preserve">document indicates that there is more than enough ‘housing with support’ in Cherwell and Oxford City, but the quality of the stock </w:t>
      </w:r>
      <w:r w:rsidRPr="00C4462E">
        <w:rPr>
          <w:sz w:val="22"/>
          <w:szCs w:val="22"/>
        </w:rPr>
        <w:t>is not known</w:t>
      </w:r>
      <w:r w:rsidR="005B429B" w:rsidRPr="00C4462E">
        <w:rPr>
          <w:sz w:val="22"/>
          <w:szCs w:val="22"/>
        </w:rPr>
        <w:t xml:space="preserve">.  Relatively small numbers of ‘housing with care’ and ‘care bedspaces’ are identified as being needed in these two authorities.  The County Council has waited to see this HENA in advance of commissioning its own research into future social care needs.  The County Council has an existing </w:t>
      </w:r>
      <w:hyperlink r:id="rId14" w:history="1">
        <w:r w:rsidR="005B429B" w:rsidRPr="00C4462E">
          <w:rPr>
            <w:rStyle w:val="Hyperlink"/>
            <w:color w:val="auto"/>
            <w:sz w:val="22"/>
            <w:szCs w:val="22"/>
          </w:rPr>
          <w:t>market position statement</w:t>
        </w:r>
      </w:hyperlink>
      <w:r w:rsidR="005B429B" w:rsidRPr="00C4462E">
        <w:rPr>
          <w:sz w:val="22"/>
          <w:szCs w:val="22"/>
        </w:rPr>
        <w:t xml:space="preserve"> and </w:t>
      </w:r>
      <w:hyperlink r:id="rId15" w:history="1">
        <w:r w:rsidR="005B429B" w:rsidRPr="00C4462E">
          <w:rPr>
            <w:rStyle w:val="Hyperlink"/>
            <w:color w:val="auto"/>
            <w:sz w:val="22"/>
            <w:szCs w:val="22"/>
          </w:rPr>
          <w:t>extra care housing supplement</w:t>
        </w:r>
      </w:hyperlink>
      <w:r w:rsidR="005B429B" w:rsidRPr="00C4462E">
        <w:rPr>
          <w:sz w:val="22"/>
          <w:szCs w:val="22"/>
        </w:rPr>
        <w:t xml:space="preserve">, but it is recognised that the timeframe in those documents is only to 2031.  </w:t>
      </w:r>
      <w:r w:rsidR="00117D53" w:rsidRPr="00C4462E">
        <w:rPr>
          <w:sz w:val="22"/>
          <w:szCs w:val="22"/>
        </w:rPr>
        <w:t xml:space="preserve">A meeting was held with staff at the city and districts in December 2022 to discuss the </w:t>
      </w:r>
      <w:r w:rsidR="00611D90" w:rsidRPr="00C4462E">
        <w:rPr>
          <w:sz w:val="22"/>
          <w:szCs w:val="22"/>
        </w:rPr>
        <w:t xml:space="preserve">brief </w:t>
      </w:r>
      <w:r w:rsidR="00117D53" w:rsidRPr="00C4462E">
        <w:rPr>
          <w:sz w:val="22"/>
          <w:szCs w:val="22"/>
        </w:rPr>
        <w:t xml:space="preserve">for evidence.  We would like to have further meetings to discuss the need and opportunity for various forms of housing catering for those </w:t>
      </w:r>
      <w:r w:rsidRPr="00C4462E">
        <w:rPr>
          <w:sz w:val="22"/>
          <w:szCs w:val="22"/>
        </w:rPr>
        <w:t>with specialist needs</w:t>
      </w:r>
      <w:r w:rsidR="00117D53" w:rsidRPr="00C4462E">
        <w:rPr>
          <w:sz w:val="22"/>
          <w:szCs w:val="22"/>
        </w:rPr>
        <w:t>, particularly extra care housing, prior to the Reg 19 local plan being finalised.</w:t>
      </w:r>
      <w:r w:rsidR="00611D90" w:rsidRPr="00C4462E">
        <w:rPr>
          <w:sz w:val="22"/>
          <w:szCs w:val="22"/>
        </w:rPr>
        <w:t xml:space="preserve">  In the meantime, we do not accept the figures in the HENA as correctly reflecting the scale of affordable need in respect of those forms of housing that </w:t>
      </w:r>
      <w:r w:rsidR="00611D90" w:rsidRPr="00C4462E">
        <w:rPr>
          <w:sz w:val="22"/>
          <w:szCs w:val="22"/>
        </w:rPr>
        <w:lastRenderedPageBreak/>
        <w:t xml:space="preserve">Oxfordshire County Council has a key interest in. </w:t>
      </w:r>
      <w:r w:rsidR="004F60D6" w:rsidRPr="00C4462E">
        <w:rPr>
          <w:sz w:val="22"/>
          <w:szCs w:val="22"/>
        </w:rPr>
        <w:t xml:space="preserve"> </w:t>
      </w:r>
      <w:proofErr w:type="gramStart"/>
      <w:r w:rsidR="004F60D6" w:rsidRPr="00C4462E">
        <w:rPr>
          <w:sz w:val="22"/>
          <w:szCs w:val="22"/>
        </w:rPr>
        <w:t>In particular</w:t>
      </w:r>
      <w:r w:rsidR="00DB08EB" w:rsidRPr="00C4462E">
        <w:rPr>
          <w:sz w:val="22"/>
          <w:szCs w:val="22"/>
        </w:rPr>
        <w:t>,</w:t>
      </w:r>
      <w:r w:rsidR="004F60D6" w:rsidRPr="00C4462E">
        <w:rPr>
          <w:sz w:val="22"/>
          <w:szCs w:val="22"/>
        </w:rPr>
        <w:t xml:space="preserve"> we</w:t>
      </w:r>
      <w:proofErr w:type="gramEnd"/>
      <w:r w:rsidR="004F60D6" w:rsidRPr="00C4462E">
        <w:rPr>
          <w:sz w:val="22"/>
          <w:szCs w:val="22"/>
        </w:rPr>
        <w:t xml:space="preserve"> have queries about how some existing schemes are classified</w:t>
      </w:r>
      <w:r w:rsidR="005F62A3" w:rsidRPr="00C4462E">
        <w:rPr>
          <w:sz w:val="22"/>
          <w:szCs w:val="22"/>
        </w:rPr>
        <w:t xml:space="preserve"> </w:t>
      </w:r>
      <w:r w:rsidR="004F60D6" w:rsidRPr="00C4462E">
        <w:rPr>
          <w:sz w:val="22"/>
          <w:szCs w:val="22"/>
        </w:rPr>
        <w:t>and note that</w:t>
      </w:r>
      <w:r w:rsidR="005F62A3" w:rsidRPr="00C4462E">
        <w:rPr>
          <w:sz w:val="22"/>
          <w:szCs w:val="22"/>
        </w:rPr>
        <w:t xml:space="preserve"> if</w:t>
      </w:r>
      <w:r w:rsidR="004F60D6" w:rsidRPr="00C4462E">
        <w:rPr>
          <w:sz w:val="22"/>
          <w:szCs w:val="22"/>
        </w:rPr>
        <w:t xml:space="preserve"> either existing housing specifications and/or housing provider priorities do not align with </w:t>
      </w:r>
      <w:r w:rsidR="00670459" w:rsidRPr="00C4462E">
        <w:rPr>
          <w:sz w:val="22"/>
          <w:szCs w:val="22"/>
        </w:rPr>
        <w:t>what we consider is required</w:t>
      </w:r>
      <w:r w:rsidR="005F62A3" w:rsidRPr="00C4462E">
        <w:rPr>
          <w:sz w:val="22"/>
          <w:szCs w:val="22"/>
        </w:rPr>
        <w:t xml:space="preserve"> </w:t>
      </w:r>
      <w:r w:rsidR="004F60D6" w:rsidRPr="00C4462E">
        <w:rPr>
          <w:sz w:val="22"/>
          <w:szCs w:val="22"/>
        </w:rPr>
        <w:t xml:space="preserve">for modern extra care housing, this will result in a higher number of new extra care housing units being </w:t>
      </w:r>
      <w:r w:rsidR="00670459" w:rsidRPr="00C4462E">
        <w:rPr>
          <w:sz w:val="22"/>
          <w:szCs w:val="22"/>
        </w:rPr>
        <w:t>needed</w:t>
      </w:r>
      <w:r w:rsidR="004F60D6" w:rsidRPr="00C4462E">
        <w:rPr>
          <w:sz w:val="22"/>
          <w:szCs w:val="22"/>
        </w:rPr>
        <w:t>.</w:t>
      </w:r>
    </w:p>
    <w:p w14:paraId="1010B52B" w14:textId="25A5F0F0" w:rsidR="00C7161C" w:rsidRDefault="00C7161C" w:rsidP="00C7161C">
      <w:pPr>
        <w:jc w:val="both"/>
        <w:rPr>
          <w:sz w:val="22"/>
          <w:szCs w:val="22"/>
        </w:rPr>
      </w:pPr>
    </w:p>
    <w:p w14:paraId="6A18FDBA" w14:textId="77777777" w:rsidR="00DB1B5B" w:rsidRPr="00C4462E" w:rsidRDefault="00DB1B5B" w:rsidP="00C7161C">
      <w:pPr>
        <w:jc w:val="both"/>
        <w:rPr>
          <w:sz w:val="22"/>
          <w:szCs w:val="22"/>
        </w:rPr>
      </w:pPr>
    </w:p>
    <w:p w14:paraId="39FF713A" w14:textId="340896CD" w:rsidR="00C7161C" w:rsidRPr="00C4462E" w:rsidRDefault="00C7161C" w:rsidP="00C7161C">
      <w:pPr>
        <w:jc w:val="both"/>
        <w:rPr>
          <w:b/>
          <w:bCs/>
          <w:sz w:val="22"/>
          <w:szCs w:val="22"/>
        </w:rPr>
      </w:pPr>
      <w:r w:rsidRPr="00C4462E">
        <w:rPr>
          <w:b/>
          <w:bCs/>
          <w:sz w:val="22"/>
          <w:szCs w:val="22"/>
        </w:rPr>
        <w:t>Capacity for housing within Oxford’s boundaries</w:t>
      </w:r>
    </w:p>
    <w:p w14:paraId="1502AC8B" w14:textId="77777777" w:rsidR="005B429B" w:rsidRPr="00C4462E" w:rsidRDefault="005B429B" w:rsidP="00F07B51">
      <w:pPr>
        <w:pStyle w:val="ListParagraph"/>
        <w:jc w:val="both"/>
        <w:rPr>
          <w:sz w:val="22"/>
          <w:szCs w:val="22"/>
        </w:rPr>
      </w:pPr>
    </w:p>
    <w:p w14:paraId="6F290DC8" w14:textId="3E7AB1C4" w:rsidR="005B429B" w:rsidRPr="00C4462E" w:rsidRDefault="00293C91" w:rsidP="00F07B51">
      <w:pPr>
        <w:jc w:val="both"/>
        <w:rPr>
          <w:sz w:val="22"/>
          <w:szCs w:val="22"/>
        </w:rPr>
      </w:pPr>
      <w:r w:rsidRPr="00C4462E">
        <w:rPr>
          <w:b/>
          <w:bCs/>
          <w:sz w:val="22"/>
          <w:szCs w:val="22"/>
        </w:rPr>
        <w:t>Q7</w:t>
      </w:r>
      <w:r w:rsidRPr="00C4462E">
        <w:rPr>
          <w:sz w:val="22"/>
          <w:szCs w:val="22"/>
        </w:rPr>
        <w:t>-Do you have any comments about the assessment of housing capacity?</w:t>
      </w:r>
    </w:p>
    <w:p w14:paraId="6A9C9156" w14:textId="13807613" w:rsidR="00203D84" w:rsidRPr="00C4462E" w:rsidRDefault="00203D84" w:rsidP="00F07B51">
      <w:pPr>
        <w:jc w:val="both"/>
        <w:rPr>
          <w:sz w:val="22"/>
          <w:szCs w:val="22"/>
        </w:rPr>
      </w:pPr>
    </w:p>
    <w:p w14:paraId="33A1C75C" w14:textId="0F08AB3E" w:rsidR="00067A7B" w:rsidRPr="00C4462E" w:rsidRDefault="00EC4438" w:rsidP="00F07B51">
      <w:pPr>
        <w:pStyle w:val="ListParagraph"/>
        <w:numPr>
          <w:ilvl w:val="0"/>
          <w:numId w:val="32"/>
        </w:numPr>
        <w:jc w:val="both"/>
        <w:rPr>
          <w:sz w:val="22"/>
          <w:szCs w:val="22"/>
        </w:rPr>
      </w:pPr>
      <w:r w:rsidRPr="00C4462E">
        <w:rPr>
          <w:sz w:val="22"/>
          <w:szCs w:val="22"/>
        </w:rPr>
        <w:t>Th</w:t>
      </w:r>
      <w:r w:rsidR="002F7BEE" w:rsidRPr="00C4462E">
        <w:rPr>
          <w:sz w:val="22"/>
          <w:szCs w:val="22"/>
        </w:rPr>
        <w:t>is consultation does not provide any</w:t>
      </w:r>
      <w:r w:rsidRPr="00C4462E">
        <w:rPr>
          <w:sz w:val="22"/>
          <w:szCs w:val="22"/>
        </w:rPr>
        <w:t xml:space="preserve"> change</w:t>
      </w:r>
      <w:r w:rsidR="002F7BEE" w:rsidRPr="00C4462E">
        <w:rPr>
          <w:sz w:val="22"/>
          <w:szCs w:val="22"/>
        </w:rPr>
        <w:t xml:space="preserve"> in the figures</w:t>
      </w:r>
      <w:r w:rsidRPr="00C4462E">
        <w:rPr>
          <w:sz w:val="22"/>
          <w:szCs w:val="22"/>
        </w:rPr>
        <w:t xml:space="preserve"> from the </w:t>
      </w:r>
      <w:r w:rsidR="00C7161C" w:rsidRPr="00C4462E">
        <w:rPr>
          <w:sz w:val="22"/>
          <w:szCs w:val="22"/>
        </w:rPr>
        <w:t xml:space="preserve">preferred options </w:t>
      </w:r>
      <w:r w:rsidRPr="00C4462E">
        <w:rPr>
          <w:sz w:val="22"/>
          <w:szCs w:val="22"/>
        </w:rPr>
        <w:t>consultation in respect of the identified capacity in Oxford City from the HELAA</w:t>
      </w:r>
      <w:r w:rsidR="00611D90" w:rsidRPr="00C4462E">
        <w:rPr>
          <w:sz w:val="22"/>
          <w:szCs w:val="22"/>
        </w:rPr>
        <w:t xml:space="preserve"> published at that stage</w:t>
      </w:r>
      <w:r w:rsidRPr="00C4462E">
        <w:rPr>
          <w:sz w:val="22"/>
          <w:szCs w:val="22"/>
        </w:rPr>
        <w:t xml:space="preserve">.  The assessed capacity is 9,147 dwellings over the 20 years (457 per year).  </w:t>
      </w:r>
      <w:r w:rsidR="002F7BEE" w:rsidRPr="00C4462E">
        <w:rPr>
          <w:sz w:val="22"/>
          <w:szCs w:val="22"/>
        </w:rPr>
        <w:t>There is a</w:t>
      </w:r>
      <w:r w:rsidRPr="00C4462E">
        <w:rPr>
          <w:sz w:val="22"/>
          <w:szCs w:val="22"/>
        </w:rPr>
        <w:t xml:space="preserve"> new Green Belt Assessment of additional sites, but the conclusion of that is that there is no case to take further land out of the Green Belt within Oxford City</w:t>
      </w:r>
      <w:r w:rsidR="00611D90" w:rsidRPr="00C4462E">
        <w:rPr>
          <w:sz w:val="22"/>
          <w:szCs w:val="22"/>
        </w:rPr>
        <w:t>, so no further sites have been added</w:t>
      </w:r>
      <w:r w:rsidRPr="00C4462E">
        <w:rPr>
          <w:sz w:val="22"/>
          <w:szCs w:val="22"/>
        </w:rPr>
        <w:t xml:space="preserve">.  </w:t>
      </w:r>
    </w:p>
    <w:p w14:paraId="26C184A9" w14:textId="77777777" w:rsidR="00EC4438" w:rsidRPr="00C4462E" w:rsidRDefault="00EC4438" w:rsidP="00F07B51">
      <w:pPr>
        <w:pStyle w:val="ListParagraph"/>
        <w:ind w:left="360"/>
        <w:jc w:val="both"/>
        <w:rPr>
          <w:sz w:val="22"/>
          <w:szCs w:val="22"/>
        </w:rPr>
      </w:pPr>
    </w:p>
    <w:p w14:paraId="6069E857" w14:textId="1BF72DB5" w:rsidR="00067A7B" w:rsidRPr="00C4462E" w:rsidRDefault="00EC4438" w:rsidP="00F07B51">
      <w:pPr>
        <w:pStyle w:val="ListParagraph"/>
        <w:numPr>
          <w:ilvl w:val="0"/>
          <w:numId w:val="32"/>
        </w:numPr>
        <w:jc w:val="both"/>
        <w:rPr>
          <w:sz w:val="22"/>
          <w:szCs w:val="22"/>
        </w:rPr>
      </w:pPr>
      <w:r w:rsidRPr="00C4462E">
        <w:rPr>
          <w:sz w:val="22"/>
          <w:szCs w:val="22"/>
        </w:rPr>
        <w:t xml:space="preserve">We made comments in our last November 2022 response about </w:t>
      </w:r>
      <w:r w:rsidR="005F6DBF" w:rsidRPr="00C4462E">
        <w:rPr>
          <w:sz w:val="22"/>
          <w:szCs w:val="22"/>
        </w:rPr>
        <w:t xml:space="preserve">capacity issues as copied at paragraphs 1a and 1b above, as well as some more detailed comments on the HELAA. </w:t>
      </w:r>
    </w:p>
    <w:p w14:paraId="67023B67" w14:textId="77777777" w:rsidR="00BC6C0D" w:rsidRPr="00C4462E" w:rsidRDefault="00BC6C0D" w:rsidP="00BC6C0D">
      <w:pPr>
        <w:pStyle w:val="ListParagraph"/>
        <w:rPr>
          <w:sz w:val="22"/>
          <w:szCs w:val="22"/>
        </w:rPr>
      </w:pPr>
    </w:p>
    <w:p w14:paraId="74A131D9" w14:textId="25842344" w:rsidR="00BC6C0D" w:rsidRPr="00C4462E" w:rsidRDefault="00BC6C0D" w:rsidP="00BC6C0D">
      <w:pPr>
        <w:pStyle w:val="ListParagraph"/>
        <w:numPr>
          <w:ilvl w:val="0"/>
          <w:numId w:val="32"/>
        </w:numPr>
        <w:jc w:val="both"/>
        <w:rPr>
          <w:sz w:val="22"/>
          <w:szCs w:val="22"/>
        </w:rPr>
      </w:pPr>
      <w:r w:rsidRPr="00C4462E">
        <w:rPr>
          <w:sz w:val="22"/>
          <w:szCs w:val="22"/>
        </w:rPr>
        <w:t>We have reviewed the latest 2021-2022 Authority Monitoring Report which was not available when we sent our response</w:t>
      </w:r>
      <w:r w:rsidR="00E277BC">
        <w:rPr>
          <w:sz w:val="22"/>
          <w:szCs w:val="22"/>
        </w:rPr>
        <w:t xml:space="preserve"> on the last consultation</w:t>
      </w:r>
      <w:r w:rsidRPr="00C4462E">
        <w:rPr>
          <w:sz w:val="22"/>
          <w:szCs w:val="22"/>
        </w:rPr>
        <w:t>.  As set out in paragraph 1b above, the previous five monitoring reports had pointed to an average of 544 homes being completed per year. The latest monitoring report amends some previous figures while adding the latest year, and the six years 2016-2022 show an average of 537 homes being completed each year.  This is considerably less than the need figure options in the Housing and Economic Needs Assessment.</w:t>
      </w:r>
    </w:p>
    <w:p w14:paraId="6A4D9779" w14:textId="77777777" w:rsidR="005F6DBF" w:rsidRPr="00C4462E" w:rsidRDefault="005F6DBF" w:rsidP="00F07B51">
      <w:pPr>
        <w:pStyle w:val="ListParagraph"/>
        <w:jc w:val="both"/>
        <w:rPr>
          <w:sz w:val="22"/>
          <w:szCs w:val="22"/>
        </w:rPr>
      </w:pPr>
    </w:p>
    <w:p w14:paraId="70CE4C95" w14:textId="7931B59A" w:rsidR="005F6DBF" w:rsidRPr="00C4462E" w:rsidRDefault="005F6DBF" w:rsidP="00F07B51">
      <w:pPr>
        <w:pStyle w:val="ListParagraph"/>
        <w:numPr>
          <w:ilvl w:val="0"/>
          <w:numId w:val="32"/>
        </w:numPr>
        <w:jc w:val="both"/>
        <w:rPr>
          <w:sz w:val="22"/>
          <w:szCs w:val="22"/>
        </w:rPr>
      </w:pPr>
      <w:r w:rsidRPr="00C4462E">
        <w:rPr>
          <w:sz w:val="22"/>
          <w:szCs w:val="22"/>
        </w:rPr>
        <w:t>Our overall impression is that there may yet be other opportunities</w:t>
      </w:r>
      <w:r w:rsidR="00AE2BEF" w:rsidRPr="00C4462E">
        <w:rPr>
          <w:sz w:val="22"/>
          <w:szCs w:val="22"/>
        </w:rPr>
        <w:t xml:space="preserve"> for additional sites or greater density</w:t>
      </w:r>
      <w:r w:rsidR="00E277BC">
        <w:rPr>
          <w:sz w:val="22"/>
          <w:szCs w:val="22"/>
        </w:rPr>
        <w:t>,</w:t>
      </w:r>
      <w:r w:rsidRPr="00C4462E">
        <w:rPr>
          <w:sz w:val="22"/>
          <w:szCs w:val="22"/>
        </w:rPr>
        <w:t xml:space="preserve"> and it may be that a higher windfall allowance would be justified.  </w:t>
      </w:r>
    </w:p>
    <w:p w14:paraId="300A1CE1" w14:textId="77777777" w:rsidR="00611D90" w:rsidRPr="00C4462E" w:rsidRDefault="00611D90" w:rsidP="00611D90">
      <w:pPr>
        <w:pStyle w:val="ListParagraph"/>
        <w:rPr>
          <w:sz w:val="22"/>
          <w:szCs w:val="22"/>
        </w:rPr>
      </w:pPr>
    </w:p>
    <w:p w14:paraId="1F8442F9" w14:textId="043E31AD" w:rsidR="00611D90" w:rsidRPr="00C4462E" w:rsidRDefault="00611D90" w:rsidP="00F07B51">
      <w:pPr>
        <w:pStyle w:val="ListParagraph"/>
        <w:numPr>
          <w:ilvl w:val="0"/>
          <w:numId w:val="32"/>
        </w:numPr>
        <w:jc w:val="both"/>
        <w:rPr>
          <w:sz w:val="22"/>
          <w:szCs w:val="22"/>
        </w:rPr>
      </w:pPr>
      <w:r w:rsidRPr="00C4462E">
        <w:rPr>
          <w:sz w:val="22"/>
          <w:szCs w:val="22"/>
        </w:rPr>
        <w:t xml:space="preserve">We understand that City Council officers are further considering the HELAA in relation to </w:t>
      </w:r>
      <w:r w:rsidR="0066675D" w:rsidRPr="00C4462E">
        <w:rPr>
          <w:sz w:val="22"/>
          <w:szCs w:val="22"/>
        </w:rPr>
        <w:t xml:space="preserve">the </w:t>
      </w:r>
      <w:r w:rsidRPr="00C4462E">
        <w:rPr>
          <w:sz w:val="22"/>
          <w:szCs w:val="22"/>
        </w:rPr>
        <w:t>comments made and</w:t>
      </w:r>
      <w:r w:rsidR="0066675D" w:rsidRPr="00C4462E">
        <w:rPr>
          <w:sz w:val="22"/>
          <w:szCs w:val="22"/>
        </w:rPr>
        <w:t xml:space="preserve"> the allocations and</w:t>
      </w:r>
      <w:r w:rsidRPr="00C4462E">
        <w:rPr>
          <w:sz w:val="22"/>
          <w:szCs w:val="22"/>
        </w:rPr>
        <w:t xml:space="preserve"> policies that are being drafted for the forthcoming Regulation 19 Local Plan.  We encourage</w:t>
      </w:r>
      <w:r w:rsidR="002F7BEE" w:rsidRPr="00C4462E">
        <w:rPr>
          <w:sz w:val="22"/>
          <w:szCs w:val="22"/>
        </w:rPr>
        <w:t xml:space="preserve"> the city’s</w:t>
      </w:r>
      <w:r w:rsidRPr="00C4462E">
        <w:rPr>
          <w:sz w:val="22"/>
          <w:szCs w:val="22"/>
        </w:rPr>
        <w:t xml:space="preserve"> officers to identify further opportunities for more housing in a revision of the HELAA to accompany the Regulation 19 Local Plan. </w:t>
      </w:r>
      <w:r w:rsidR="001836E6">
        <w:rPr>
          <w:sz w:val="22"/>
          <w:szCs w:val="22"/>
        </w:rPr>
        <w:t>Continuing to build housing in Oxford City will help to meet sustainability targets such as</w:t>
      </w:r>
      <w:r w:rsidR="001836E6" w:rsidRPr="00C4462E">
        <w:rPr>
          <w:sz w:val="22"/>
          <w:szCs w:val="22"/>
        </w:rPr>
        <w:t xml:space="preserve"> </w:t>
      </w:r>
      <w:r w:rsidR="001836E6">
        <w:rPr>
          <w:sz w:val="22"/>
          <w:szCs w:val="22"/>
        </w:rPr>
        <w:t xml:space="preserve">enabling more people to make active travel choices, </w:t>
      </w:r>
      <w:r w:rsidR="001836E6" w:rsidRPr="00C4462E">
        <w:rPr>
          <w:sz w:val="22"/>
          <w:szCs w:val="22"/>
        </w:rPr>
        <w:t>reduc</w:t>
      </w:r>
      <w:r w:rsidR="001836E6">
        <w:rPr>
          <w:sz w:val="22"/>
          <w:szCs w:val="22"/>
        </w:rPr>
        <w:t>ing</w:t>
      </w:r>
      <w:r w:rsidR="001836E6" w:rsidRPr="00C4462E">
        <w:rPr>
          <w:sz w:val="22"/>
          <w:szCs w:val="22"/>
        </w:rPr>
        <w:t xml:space="preserve"> carbon </w:t>
      </w:r>
      <w:proofErr w:type="gramStart"/>
      <w:r w:rsidR="001836E6" w:rsidRPr="00C4462E">
        <w:rPr>
          <w:sz w:val="22"/>
          <w:szCs w:val="22"/>
        </w:rPr>
        <w:t>emissions</w:t>
      </w:r>
      <w:proofErr w:type="gramEnd"/>
      <w:r w:rsidR="001836E6" w:rsidRPr="00C4462E">
        <w:rPr>
          <w:sz w:val="22"/>
          <w:szCs w:val="22"/>
        </w:rPr>
        <w:t xml:space="preserve"> and avoid</w:t>
      </w:r>
      <w:r w:rsidR="001836E6">
        <w:rPr>
          <w:sz w:val="22"/>
          <w:szCs w:val="22"/>
        </w:rPr>
        <w:t>ing</w:t>
      </w:r>
      <w:r w:rsidR="001836E6" w:rsidRPr="00C4462E">
        <w:rPr>
          <w:sz w:val="22"/>
          <w:szCs w:val="22"/>
        </w:rPr>
        <w:t xml:space="preserve"> the need for costly new transport infrastructure</w:t>
      </w:r>
      <w:r w:rsidR="001836E6">
        <w:rPr>
          <w:sz w:val="22"/>
          <w:szCs w:val="22"/>
        </w:rPr>
        <w:t>.</w:t>
      </w:r>
    </w:p>
    <w:p w14:paraId="53998648" w14:textId="61E826BE" w:rsidR="00C7161C" w:rsidRDefault="00C7161C" w:rsidP="00C7161C">
      <w:pPr>
        <w:jc w:val="both"/>
        <w:rPr>
          <w:sz w:val="22"/>
          <w:szCs w:val="22"/>
        </w:rPr>
      </w:pPr>
    </w:p>
    <w:p w14:paraId="222331A6" w14:textId="77777777" w:rsidR="00B117E9" w:rsidRPr="00C4462E" w:rsidRDefault="00B117E9" w:rsidP="00C7161C">
      <w:pPr>
        <w:jc w:val="both"/>
        <w:rPr>
          <w:sz w:val="22"/>
          <w:szCs w:val="22"/>
        </w:rPr>
      </w:pPr>
    </w:p>
    <w:p w14:paraId="39378A25" w14:textId="4C7E83B2" w:rsidR="00C7161C" w:rsidRPr="00C4462E" w:rsidRDefault="00C7161C" w:rsidP="00C7161C">
      <w:pPr>
        <w:jc w:val="both"/>
        <w:rPr>
          <w:b/>
          <w:bCs/>
          <w:sz w:val="22"/>
          <w:szCs w:val="22"/>
        </w:rPr>
      </w:pPr>
      <w:r w:rsidRPr="00C4462E">
        <w:rPr>
          <w:b/>
          <w:bCs/>
          <w:sz w:val="22"/>
          <w:szCs w:val="22"/>
        </w:rPr>
        <w:t>Requirement for Oxford City and Unmet Need outside of Oxford City</w:t>
      </w:r>
    </w:p>
    <w:p w14:paraId="355CE984" w14:textId="77777777" w:rsidR="005F6DBF" w:rsidRPr="00C4462E" w:rsidRDefault="005F6DBF" w:rsidP="00F07B51">
      <w:pPr>
        <w:pStyle w:val="ListParagraph"/>
        <w:jc w:val="both"/>
        <w:rPr>
          <w:sz w:val="22"/>
          <w:szCs w:val="22"/>
        </w:rPr>
      </w:pPr>
    </w:p>
    <w:p w14:paraId="40073975" w14:textId="228EC580" w:rsidR="005F6DBF" w:rsidRPr="00C4462E" w:rsidRDefault="00B45198" w:rsidP="00F07B51">
      <w:pPr>
        <w:jc w:val="both"/>
        <w:rPr>
          <w:sz w:val="22"/>
          <w:szCs w:val="22"/>
        </w:rPr>
      </w:pPr>
      <w:r w:rsidRPr="00C4462E">
        <w:rPr>
          <w:b/>
          <w:bCs/>
          <w:sz w:val="22"/>
          <w:szCs w:val="22"/>
        </w:rPr>
        <w:t>Q8</w:t>
      </w:r>
      <w:r w:rsidRPr="00C4462E">
        <w:rPr>
          <w:sz w:val="22"/>
          <w:szCs w:val="22"/>
        </w:rPr>
        <w:t>-Do you have any comments about this conclusion to our approach to assessing housing need and setting a housing requirement in the Oxford Local Plan 2040?</w:t>
      </w:r>
    </w:p>
    <w:p w14:paraId="124B356F" w14:textId="44CB22EA" w:rsidR="005F6DBF" w:rsidRPr="00C4462E" w:rsidRDefault="005F6DBF" w:rsidP="00F07B51">
      <w:pPr>
        <w:jc w:val="both"/>
        <w:rPr>
          <w:sz w:val="22"/>
          <w:szCs w:val="22"/>
        </w:rPr>
      </w:pPr>
      <w:r w:rsidRPr="00C4462E">
        <w:rPr>
          <w:sz w:val="22"/>
          <w:szCs w:val="22"/>
        </w:rPr>
        <w:t xml:space="preserve"> </w:t>
      </w:r>
    </w:p>
    <w:p w14:paraId="32C36AA2" w14:textId="19615E59" w:rsidR="00B45198" w:rsidRPr="00C4462E" w:rsidRDefault="00E277BC" w:rsidP="00F07B51">
      <w:pPr>
        <w:pStyle w:val="ListParagraph"/>
        <w:numPr>
          <w:ilvl w:val="0"/>
          <w:numId w:val="32"/>
        </w:numPr>
        <w:jc w:val="both"/>
        <w:rPr>
          <w:sz w:val="22"/>
          <w:szCs w:val="22"/>
        </w:rPr>
      </w:pPr>
      <w:r>
        <w:rPr>
          <w:sz w:val="22"/>
          <w:szCs w:val="22"/>
        </w:rPr>
        <w:t>This consultation document indicates</w:t>
      </w:r>
      <w:r w:rsidR="00B45198" w:rsidRPr="00C4462E">
        <w:rPr>
          <w:sz w:val="22"/>
          <w:szCs w:val="22"/>
        </w:rPr>
        <w:t xml:space="preserve"> that Oxford City</w:t>
      </w:r>
      <w:r w:rsidR="002F7BEE" w:rsidRPr="00C4462E">
        <w:rPr>
          <w:sz w:val="22"/>
          <w:szCs w:val="22"/>
        </w:rPr>
        <w:t xml:space="preserve"> Council</w:t>
      </w:r>
      <w:r w:rsidR="00B45198" w:rsidRPr="00C4462E">
        <w:rPr>
          <w:sz w:val="22"/>
          <w:szCs w:val="22"/>
        </w:rPr>
        <w:t xml:space="preserve"> </w:t>
      </w:r>
      <w:r>
        <w:rPr>
          <w:sz w:val="22"/>
          <w:szCs w:val="22"/>
        </w:rPr>
        <w:t>proposes</w:t>
      </w:r>
      <w:r w:rsidR="00B45198" w:rsidRPr="00C4462E">
        <w:rPr>
          <w:sz w:val="22"/>
          <w:szCs w:val="22"/>
        </w:rPr>
        <w:t xml:space="preserve"> to identify that the </w:t>
      </w:r>
      <w:r>
        <w:rPr>
          <w:sz w:val="22"/>
          <w:szCs w:val="22"/>
        </w:rPr>
        <w:t xml:space="preserve">city’s </w:t>
      </w:r>
      <w:r w:rsidR="00B45198" w:rsidRPr="00C4462E">
        <w:rPr>
          <w:sz w:val="22"/>
          <w:szCs w:val="22"/>
        </w:rPr>
        <w:t xml:space="preserve">housing need is for a total of 26,440 houses between 2020 and 2040 (1,322 </w:t>
      </w:r>
      <w:proofErr w:type="spellStart"/>
      <w:r w:rsidR="00B45198" w:rsidRPr="00C4462E">
        <w:rPr>
          <w:sz w:val="22"/>
          <w:szCs w:val="22"/>
        </w:rPr>
        <w:t>dpa</w:t>
      </w:r>
      <w:proofErr w:type="spellEnd"/>
      <w:r w:rsidR="00B45198" w:rsidRPr="00C4462E">
        <w:rPr>
          <w:sz w:val="22"/>
          <w:szCs w:val="22"/>
        </w:rPr>
        <w:t xml:space="preserve">), but that the requirement within Oxford City’s boundaries be for 9,147 dwellings (457 </w:t>
      </w:r>
      <w:proofErr w:type="spellStart"/>
      <w:r w:rsidR="00B45198" w:rsidRPr="00C4462E">
        <w:rPr>
          <w:sz w:val="22"/>
          <w:szCs w:val="22"/>
        </w:rPr>
        <w:t>dpa</w:t>
      </w:r>
      <w:proofErr w:type="spellEnd"/>
      <w:r w:rsidR="00B45198" w:rsidRPr="00C4462E">
        <w:rPr>
          <w:sz w:val="22"/>
          <w:szCs w:val="22"/>
        </w:rPr>
        <w:t xml:space="preserve"> or possibly a stepped trajectory)</w:t>
      </w:r>
      <w:r w:rsidR="00611D90" w:rsidRPr="00C4462E">
        <w:rPr>
          <w:sz w:val="22"/>
          <w:szCs w:val="22"/>
        </w:rPr>
        <w:t xml:space="preserve"> or whatever figure results from a revised HELAA</w:t>
      </w:r>
      <w:r w:rsidR="00B45198" w:rsidRPr="00C4462E">
        <w:rPr>
          <w:sz w:val="22"/>
          <w:szCs w:val="22"/>
        </w:rPr>
        <w:t>.</w:t>
      </w:r>
    </w:p>
    <w:p w14:paraId="34F8D81D" w14:textId="77777777" w:rsidR="00B45198" w:rsidRPr="00C4462E" w:rsidRDefault="00B45198" w:rsidP="00F07B51">
      <w:pPr>
        <w:pStyle w:val="ListParagraph"/>
        <w:ind w:left="360"/>
        <w:jc w:val="both"/>
        <w:rPr>
          <w:sz w:val="22"/>
          <w:szCs w:val="22"/>
        </w:rPr>
      </w:pPr>
    </w:p>
    <w:p w14:paraId="662C2AE6" w14:textId="5B67B5E8" w:rsidR="00B117E9" w:rsidRDefault="00B117E9" w:rsidP="00F07B51">
      <w:pPr>
        <w:pStyle w:val="ListParagraph"/>
        <w:numPr>
          <w:ilvl w:val="0"/>
          <w:numId w:val="32"/>
        </w:numPr>
        <w:jc w:val="both"/>
        <w:rPr>
          <w:sz w:val="22"/>
          <w:szCs w:val="22"/>
        </w:rPr>
      </w:pPr>
      <w:r>
        <w:rPr>
          <w:sz w:val="22"/>
          <w:szCs w:val="22"/>
        </w:rPr>
        <w:lastRenderedPageBreak/>
        <w:t xml:space="preserve">The Standard Method would produce need figures of </w:t>
      </w:r>
      <w:r w:rsidRPr="00B117E9">
        <w:rPr>
          <w:sz w:val="22"/>
          <w:szCs w:val="22"/>
        </w:rPr>
        <w:t xml:space="preserve">15,240 </w:t>
      </w:r>
      <w:r>
        <w:rPr>
          <w:sz w:val="22"/>
          <w:szCs w:val="22"/>
        </w:rPr>
        <w:t>houses between</w:t>
      </w:r>
      <w:r w:rsidRPr="00B117E9">
        <w:rPr>
          <w:sz w:val="22"/>
          <w:szCs w:val="22"/>
        </w:rPr>
        <w:t xml:space="preserve"> 2020-2040</w:t>
      </w:r>
      <w:r>
        <w:rPr>
          <w:sz w:val="22"/>
          <w:szCs w:val="22"/>
        </w:rPr>
        <w:t xml:space="preserve"> (762 </w:t>
      </w:r>
      <w:proofErr w:type="spellStart"/>
      <w:r>
        <w:rPr>
          <w:sz w:val="22"/>
          <w:szCs w:val="22"/>
        </w:rPr>
        <w:t>dpa</w:t>
      </w:r>
      <w:proofErr w:type="spellEnd"/>
      <w:r>
        <w:rPr>
          <w:sz w:val="22"/>
          <w:szCs w:val="22"/>
        </w:rPr>
        <w:t xml:space="preserve">), which would be a lot closer to the proposed requirement of 9,147 dwellings (457 </w:t>
      </w:r>
      <w:proofErr w:type="spellStart"/>
      <w:r>
        <w:rPr>
          <w:sz w:val="22"/>
          <w:szCs w:val="22"/>
        </w:rPr>
        <w:t>dpa</w:t>
      </w:r>
      <w:proofErr w:type="spellEnd"/>
      <w:r>
        <w:rPr>
          <w:sz w:val="22"/>
          <w:szCs w:val="22"/>
        </w:rPr>
        <w:t xml:space="preserve">), and potentially closer if the HELAA identifies </w:t>
      </w:r>
      <w:r w:rsidR="00A17DBB">
        <w:rPr>
          <w:sz w:val="22"/>
          <w:szCs w:val="22"/>
        </w:rPr>
        <w:t>an increase in capacity</w:t>
      </w:r>
      <w:r>
        <w:rPr>
          <w:sz w:val="22"/>
          <w:szCs w:val="22"/>
        </w:rPr>
        <w:t>.</w:t>
      </w:r>
      <w:r w:rsidR="00FE0D12">
        <w:rPr>
          <w:sz w:val="22"/>
          <w:szCs w:val="22"/>
        </w:rPr>
        <w:t xml:space="preserve"> </w:t>
      </w:r>
    </w:p>
    <w:p w14:paraId="4776B556" w14:textId="77777777" w:rsidR="00B117E9" w:rsidRPr="00B117E9" w:rsidRDefault="00B117E9" w:rsidP="00B117E9">
      <w:pPr>
        <w:pStyle w:val="ListParagraph"/>
        <w:rPr>
          <w:sz w:val="22"/>
          <w:szCs w:val="22"/>
        </w:rPr>
      </w:pPr>
    </w:p>
    <w:p w14:paraId="15E806C4" w14:textId="0F2477E2" w:rsidR="00EC4438" w:rsidRDefault="00B45198" w:rsidP="002321BD">
      <w:pPr>
        <w:pStyle w:val="ListParagraph"/>
        <w:numPr>
          <w:ilvl w:val="0"/>
          <w:numId w:val="32"/>
        </w:numPr>
        <w:jc w:val="both"/>
        <w:rPr>
          <w:sz w:val="22"/>
          <w:szCs w:val="22"/>
        </w:rPr>
      </w:pPr>
      <w:r w:rsidRPr="00FE0D12">
        <w:rPr>
          <w:sz w:val="22"/>
          <w:szCs w:val="22"/>
        </w:rPr>
        <w:t xml:space="preserve">A key concern is </w:t>
      </w:r>
      <w:r w:rsidR="00611D90" w:rsidRPr="00FE0D12">
        <w:rPr>
          <w:sz w:val="22"/>
          <w:szCs w:val="22"/>
        </w:rPr>
        <w:t>the difference between the identified need and the requirement within the City’s boundaries. T</w:t>
      </w:r>
      <w:r w:rsidRPr="00FE0D12">
        <w:rPr>
          <w:sz w:val="22"/>
          <w:szCs w:val="22"/>
        </w:rPr>
        <w:t>his create</w:t>
      </w:r>
      <w:r w:rsidR="0028242B" w:rsidRPr="00FE0D12">
        <w:rPr>
          <w:sz w:val="22"/>
          <w:szCs w:val="22"/>
        </w:rPr>
        <w:t>s</w:t>
      </w:r>
      <w:r w:rsidRPr="00FE0D12">
        <w:rPr>
          <w:sz w:val="22"/>
          <w:szCs w:val="22"/>
        </w:rPr>
        <w:t xml:space="preserve"> an identified ‘unmet need’ and </w:t>
      </w:r>
      <w:r w:rsidR="0028242B" w:rsidRPr="00FE0D12">
        <w:rPr>
          <w:sz w:val="22"/>
          <w:szCs w:val="22"/>
        </w:rPr>
        <w:t xml:space="preserve">appears as </w:t>
      </w:r>
      <w:r w:rsidRPr="00FE0D12">
        <w:rPr>
          <w:sz w:val="22"/>
          <w:szCs w:val="22"/>
        </w:rPr>
        <w:t>an obligation for the other district councils to address that need. If there was a lower need figure</w:t>
      </w:r>
      <w:r w:rsidR="007F409C" w:rsidRPr="00FE0D12">
        <w:rPr>
          <w:sz w:val="22"/>
          <w:szCs w:val="22"/>
        </w:rPr>
        <w:t xml:space="preserve"> and a lower distribution percentage for Oxford</w:t>
      </w:r>
      <w:r w:rsidR="00611D90" w:rsidRPr="00FE0D12">
        <w:rPr>
          <w:sz w:val="22"/>
          <w:szCs w:val="22"/>
        </w:rPr>
        <w:t>,</w:t>
      </w:r>
      <w:r w:rsidRPr="00FE0D12">
        <w:rPr>
          <w:sz w:val="22"/>
          <w:szCs w:val="22"/>
        </w:rPr>
        <w:t xml:space="preserve"> then the unmet need figure would be lower.  </w:t>
      </w:r>
      <w:r w:rsidR="00F61BDB">
        <w:rPr>
          <w:sz w:val="22"/>
          <w:szCs w:val="22"/>
        </w:rPr>
        <w:t xml:space="preserve">We would like to be confident that whatever figure of unmet need is </w:t>
      </w:r>
      <w:r w:rsidR="004554AF">
        <w:rPr>
          <w:sz w:val="22"/>
          <w:szCs w:val="22"/>
        </w:rPr>
        <w:t>agreed with the District Councils,</w:t>
      </w:r>
      <w:r w:rsidR="00F61BDB">
        <w:rPr>
          <w:sz w:val="22"/>
          <w:szCs w:val="22"/>
        </w:rPr>
        <w:t xml:space="preserve"> that it is realistic and achievable.</w:t>
      </w:r>
    </w:p>
    <w:p w14:paraId="5BF5823C" w14:textId="77777777" w:rsidR="00FE0D12" w:rsidRPr="00FE0D12" w:rsidRDefault="00FE0D12" w:rsidP="00FE0D12">
      <w:pPr>
        <w:jc w:val="both"/>
        <w:rPr>
          <w:sz w:val="22"/>
          <w:szCs w:val="22"/>
        </w:rPr>
      </w:pPr>
    </w:p>
    <w:p w14:paraId="19FE41EC" w14:textId="685BF95C" w:rsidR="00B04A38" w:rsidRDefault="00D74A68" w:rsidP="00901117">
      <w:pPr>
        <w:pStyle w:val="ListParagraph"/>
        <w:numPr>
          <w:ilvl w:val="0"/>
          <w:numId w:val="32"/>
        </w:numPr>
        <w:jc w:val="both"/>
        <w:rPr>
          <w:sz w:val="22"/>
          <w:szCs w:val="22"/>
        </w:rPr>
      </w:pPr>
      <w:r w:rsidRPr="000033F5">
        <w:rPr>
          <w:sz w:val="22"/>
          <w:szCs w:val="22"/>
        </w:rPr>
        <w:t>The</w:t>
      </w:r>
      <w:r w:rsidR="00EC4438" w:rsidRPr="000033F5">
        <w:rPr>
          <w:sz w:val="22"/>
          <w:szCs w:val="22"/>
        </w:rPr>
        <w:t xml:space="preserve"> unmet need resulting from using the 1,322 </w:t>
      </w:r>
      <w:proofErr w:type="spellStart"/>
      <w:r w:rsidR="00EC4438" w:rsidRPr="000033F5">
        <w:rPr>
          <w:sz w:val="22"/>
          <w:szCs w:val="22"/>
        </w:rPr>
        <w:t>dpa</w:t>
      </w:r>
      <w:proofErr w:type="spellEnd"/>
      <w:r w:rsidR="00EC4438" w:rsidRPr="000033F5">
        <w:rPr>
          <w:sz w:val="22"/>
          <w:szCs w:val="22"/>
        </w:rPr>
        <w:t xml:space="preserve"> </w:t>
      </w:r>
      <w:r w:rsidR="00611D90" w:rsidRPr="000033F5">
        <w:rPr>
          <w:sz w:val="22"/>
          <w:szCs w:val="22"/>
        </w:rPr>
        <w:t xml:space="preserve">and 457 </w:t>
      </w:r>
      <w:proofErr w:type="spellStart"/>
      <w:r w:rsidR="00611D90" w:rsidRPr="000033F5">
        <w:rPr>
          <w:sz w:val="22"/>
          <w:szCs w:val="22"/>
        </w:rPr>
        <w:t>dpa</w:t>
      </w:r>
      <w:proofErr w:type="spellEnd"/>
      <w:r w:rsidR="00611D90" w:rsidRPr="000033F5">
        <w:rPr>
          <w:sz w:val="22"/>
          <w:szCs w:val="22"/>
        </w:rPr>
        <w:t xml:space="preserve"> </w:t>
      </w:r>
      <w:r w:rsidR="00EC4438" w:rsidRPr="000033F5">
        <w:rPr>
          <w:sz w:val="22"/>
          <w:szCs w:val="22"/>
        </w:rPr>
        <w:t>figure</w:t>
      </w:r>
      <w:r w:rsidR="00611D90" w:rsidRPr="000033F5">
        <w:rPr>
          <w:sz w:val="22"/>
          <w:szCs w:val="22"/>
        </w:rPr>
        <w:t>s</w:t>
      </w:r>
      <w:r w:rsidR="00EC4438" w:rsidRPr="000033F5">
        <w:rPr>
          <w:sz w:val="22"/>
          <w:szCs w:val="22"/>
        </w:rPr>
        <w:t xml:space="preserve"> is 865 </w:t>
      </w:r>
      <w:proofErr w:type="spellStart"/>
      <w:r w:rsidR="00EC4438" w:rsidRPr="000033F5">
        <w:rPr>
          <w:sz w:val="22"/>
          <w:szCs w:val="22"/>
        </w:rPr>
        <w:t>dpa</w:t>
      </w:r>
      <w:proofErr w:type="spellEnd"/>
      <w:r w:rsidR="00EC4438" w:rsidRPr="000033F5">
        <w:rPr>
          <w:sz w:val="22"/>
          <w:szCs w:val="22"/>
        </w:rPr>
        <w:t xml:space="preserve"> (</w:t>
      </w:r>
      <w:proofErr w:type="gramStart"/>
      <w:r w:rsidR="00EC4438" w:rsidRPr="000033F5">
        <w:rPr>
          <w:sz w:val="22"/>
          <w:szCs w:val="22"/>
        </w:rPr>
        <w:t>i.e.</w:t>
      </w:r>
      <w:proofErr w:type="gramEnd"/>
      <w:r w:rsidR="00EC4438" w:rsidRPr="000033F5">
        <w:rPr>
          <w:sz w:val="22"/>
          <w:szCs w:val="22"/>
        </w:rPr>
        <w:t xml:space="preserve"> 1,322 minus 457).  Over the 20 years 2020-2040 this is 17,293 dwellings (</w:t>
      </w:r>
      <w:proofErr w:type="gramStart"/>
      <w:r w:rsidR="00EC4438" w:rsidRPr="000033F5">
        <w:rPr>
          <w:sz w:val="22"/>
          <w:szCs w:val="22"/>
        </w:rPr>
        <w:t>i.e.</w:t>
      </w:r>
      <w:proofErr w:type="gramEnd"/>
      <w:r w:rsidR="00EC4438" w:rsidRPr="000033F5">
        <w:rPr>
          <w:sz w:val="22"/>
          <w:szCs w:val="22"/>
        </w:rPr>
        <w:t xml:space="preserve"> 26,440 minus 9,147).    </w:t>
      </w:r>
      <w:r w:rsidR="00FE0D12" w:rsidRPr="000033F5">
        <w:rPr>
          <w:sz w:val="22"/>
          <w:szCs w:val="22"/>
        </w:rPr>
        <w:t>The Standard Method produces an unmet need (with the current HELAA) of 6,100 dwellings.  The</w:t>
      </w:r>
      <w:r w:rsidR="00EC4438" w:rsidRPr="000033F5">
        <w:rPr>
          <w:sz w:val="22"/>
          <w:szCs w:val="22"/>
        </w:rPr>
        <w:t xml:space="preserve"> working assumption of unmet need identified for the period 2011-2031 was for 15,000 dwellings</w:t>
      </w:r>
      <w:r w:rsidR="00F61BDB" w:rsidRPr="000033F5">
        <w:rPr>
          <w:sz w:val="22"/>
          <w:szCs w:val="22"/>
        </w:rPr>
        <w:t>, and 14,300 was allocated in the current Local Plans</w:t>
      </w:r>
      <w:r w:rsidR="000033F5" w:rsidRPr="000033F5">
        <w:rPr>
          <w:sz w:val="22"/>
          <w:szCs w:val="22"/>
        </w:rPr>
        <w:t xml:space="preserve">.  </w:t>
      </w:r>
      <w:r w:rsidR="00F61BDB" w:rsidRPr="000033F5">
        <w:rPr>
          <w:sz w:val="22"/>
          <w:szCs w:val="22"/>
        </w:rPr>
        <w:t xml:space="preserve">Table </w:t>
      </w:r>
      <w:r w:rsidR="00B04A38" w:rsidRPr="000033F5">
        <w:rPr>
          <w:sz w:val="22"/>
          <w:szCs w:val="22"/>
        </w:rPr>
        <w:t xml:space="preserve">5 </w:t>
      </w:r>
      <w:r w:rsidR="000033F5" w:rsidRPr="000033F5">
        <w:rPr>
          <w:sz w:val="22"/>
          <w:szCs w:val="22"/>
        </w:rPr>
        <w:t>shows</w:t>
      </w:r>
      <w:r w:rsidR="00B04A38" w:rsidRPr="000033F5">
        <w:rPr>
          <w:sz w:val="22"/>
          <w:szCs w:val="22"/>
        </w:rPr>
        <w:t xml:space="preserve"> how this was distributed</w:t>
      </w:r>
      <w:r w:rsidR="000033F5" w:rsidRPr="000033F5">
        <w:rPr>
          <w:sz w:val="22"/>
          <w:szCs w:val="22"/>
        </w:rPr>
        <w:t xml:space="preserve">.  The distribution was arrived at based on an assessment of suitable and available sites at the time.  </w:t>
      </w:r>
    </w:p>
    <w:p w14:paraId="2B7A3C27" w14:textId="77777777" w:rsidR="000033F5" w:rsidRPr="000033F5" w:rsidRDefault="000033F5" w:rsidP="000033F5">
      <w:pPr>
        <w:jc w:val="both"/>
        <w:rPr>
          <w:sz w:val="22"/>
          <w:szCs w:val="22"/>
        </w:rPr>
      </w:pPr>
    </w:p>
    <w:p w14:paraId="3FA364DD" w14:textId="1022C3CF" w:rsidR="00B04A38" w:rsidRPr="00C4462E" w:rsidRDefault="00B04A38" w:rsidP="00B04A38">
      <w:pPr>
        <w:pStyle w:val="ListParagraph"/>
        <w:ind w:left="360"/>
        <w:jc w:val="both"/>
        <w:rPr>
          <w:sz w:val="22"/>
          <w:szCs w:val="22"/>
        </w:rPr>
      </w:pPr>
      <w:r w:rsidRPr="00C4462E">
        <w:rPr>
          <w:sz w:val="22"/>
          <w:szCs w:val="22"/>
        </w:rPr>
        <w:t xml:space="preserve">Table </w:t>
      </w:r>
      <w:r>
        <w:rPr>
          <w:sz w:val="22"/>
          <w:szCs w:val="22"/>
        </w:rPr>
        <w:t>5</w:t>
      </w:r>
      <w:r w:rsidRPr="00C4462E">
        <w:rPr>
          <w:sz w:val="22"/>
          <w:szCs w:val="22"/>
        </w:rPr>
        <w:t xml:space="preserve"> – Apportionment </w:t>
      </w:r>
      <w:r>
        <w:rPr>
          <w:sz w:val="22"/>
          <w:szCs w:val="22"/>
        </w:rPr>
        <w:t xml:space="preserve">of Oxford’s unmet need </w:t>
      </w:r>
      <w:r w:rsidRPr="00C4462E">
        <w:rPr>
          <w:sz w:val="22"/>
          <w:szCs w:val="22"/>
        </w:rPr>
        <w:t>in current Local Plans to 2035/2036</w:t>
      </w:r>
    </w:p>
    <w:tbl>
      <w:tblPr>
        <w:tblStyle w:val="TableGrid"/>
        <w:tblW w:w="0" w:type="auto"/>
        <w:tblInd w:w="360" w:type="dxa"/>
        <w:tblLook w:val="04A0" w:firstRow="1" w:lastRow="0" w:firstColumn="1" w:lastColumn="0" w:noHBand="0" w:noVBand="1"/>
      </w:tblPr>
      <w:tblGrid>
        <w:gridCol w:w="2601"/>
        <w:gridCol w:w="3358"/>
        <w:gridCol w:w="2923"/>
      </w:tblGrid>
      <w:tr w:rsidR="00B04A38" w:rsidRPr="00C4462E" w14:paraId="392DE379" w14:textId="77777777" w:rsidTr="002D30ED">
        <w:tc>
          <w:tcPr>
            <w:tcW w:w="2601" w:type="dxa"/>
          </w:tcPr>
          <w:p w14:paraId="7A61563C" w14:textId="77777777" w:rsidR="00B04A38" w:rsidRPr="00C4462E" w:rsidRDefault="00B04A38" w:rsidP="002D30ED">
            <w:pPr>
              <w:pStyle w:val="ListParagraph"/>
              <w:ind w:left="0"/>
              <w:jc w:val="both"/>
              <w:rPr>
                <w:sz w:val="22"/>
                <w:szCs w:val="22"/>
              </w:rPr>
            </w:pPr>
            <w:r w:rsidRPr="00C4462E">
              <w:rPr>
                <w:sz w:val="22"/>
                <w:szCs w:val="22"/>
              </w:rPr>
              <w:t>District</w:t>
            </w:r>
          </w:p>
        </w:tc>
        <w:tc>
          <w:tcPr>
            <w:tcW w:w="3358" w:type="dxa"/>
          </w:tcPr>
          <w:p w14:paraId="033647D8" w14:textId="77777777" w:rsidR="00B04A38" w:rsidRPr="00C4462E" w:rsidRDefault="00B04A38" w:rsidP="002D30ED">
            <w:pPr>
              <w:pStyle w:val="ListParagraph"/>
              <w:ind w:left="0"/>
              <w:jc w:val="both"/>
              <w:rPr>
                <w:sz w:val="22"/>
                <w:szCs w:val="22"/>
              </w:rPr>
            </w:pPr>
            <w:r w:rsidRPr="00C4462E">
              <w:rPr>
                <w:sz w:val="22"/>
                <w:szCs w:val="22"/>
              </w:rPr>
              <w:t xml:space="preserve">Apportionment </w:t>
            </w:r>
            <w:r>
              <w:rPr>
                <w:sz w:val="22"/>
                <w:szCs w:val="22"/>
              </w:rPr>
              <w:t>of unmet need</w:t>
            </w:r>
          </w:p>
        </w:tc>
        <w:tc>
          <w:tcPr>
            <w:tcW w:w="2923" w:type="dxa"/>
          </w:tcPr>
          <w:p w14:paraId="546EC950" w14:textId="77777777" w:rsidR="00B04A38" w:rsidRPr="00C4462E" w:rsidRDefault="00B04A38" w:rsidP="002D30ED">
            <w:pPr>
              <w:pStyle w:val="ListParagraph"/>
              <w:ind w:left="0"/>
              <w:jc w:val="both"/>
              <w:rPr>
                <w:sz w:val="22"/>
                <w:szCs w:val="22"/>
              </w:rPr>
            </w:pPr>
            <w:r w:rsidRPr="00C4462E">
              <w:rPr>
                <w:sz w:val="22"/>
                <w:szCs w:val="22"/>
              </w:rPr>
              <w:t>Percentage of 14,300 total</w:t>
            </w:r>
          </w:p>
        </w:tc>
      </w:tr>
      <w:tr w:rsidR="00B04A38" w:rsidRPr="00C4462E" w14:paraId="6C97EDCE" w14:textId="77777777" w:rsidTr="002D30ED">
        <w:tc>
          <w:tcPr>
            <w:tcW w:w="2601" w:type="dxa"/>
          </w:tcPr>
          <w:p w14:paraId="307C6888" w14:textId="77777777" w:rsidR="00B04A38" w:rsidRPr="00C4462E" w:rsidRDefault="00B04A38" w:rsidP="002D30ED">
            <w:pPr>
              <w:pStyle w:val="ListParagraph"/>
              <w:ind w:left="0"/>
              <w:jc w:val="both"/>
              <w:rPr>
                <w:sz w:val="22"/>
                <w:szCs w:val="22"/>
              </w:rPr>
            </w:pPr>
            <w:r w:rsidRPr="00C4462E">
              <w:rPr>
                <w:sz w:val="22"/>
                <w:szCs w:val="22"/>
              </w:rPr>
              <w:t>Cherwell</w:t>
            </w:r>
          </w:p>
        </w:tc>
        <w:tc>
          <w:tcPr>
            <w:tcW w:w="3358" w:type="dxa"/>
          </w:tcPr>
          <w:p w14:paraId="2FC2FF80" w14:textId="77777777" w:rsidR="00B04A38" w:rsidRPr="00C4462E" w:rsidRDefault="00B04A38" w:rsidP="002D30ED">
            <w:pPr>
              <w:pStyle w:val="ListParagraph"/>
              <w:ind w:left="0"/>
              <w:jc w:val="both"/>
              <w:rPr>
                <w:sz w:val="22"/>
                <w:szCs w:val="22"/>
              </w:rPr>
            </w:pPr>
            <w:r w:rsidRPr="00C4462E">
              <w:rPr>
                <w:sz w:val="22"/>
                <w:szCs w:val="22"/>
              </w:rPr>
              <w:t>4,400</w:t>
            </w:r>
          </w:p>
        </w:tc>
        <w:tc>
          <w:tcPr>
            <w:tcW w:w="2923" w:type="dxa"/>
          </w:tcPr>
          <w:p w14:paraId="66D0A006" w14:textId="77777777" w:rsidR="00B04A38" w:rsidRPr="00C4462E" w:rsidRDefault="00B04A38" w:rsidP="002D30ED">
            <w:pPr>
              <w:pStyle w:val="ListParagraph"/>
              <w:ind w:left="0"/>
              <w:jc w:val="both"/>
              <w:rPr>
                <w:sz w:val="22"/>
                <w:szCs w:val="22"/>
              </w:rPr>
            </w:pPr>
            <w:r w:rsidRPr="00C4462E">
              <w:rPr>
                <w:sz w:val="22"/>
                <w:szCs w:val="22"/>
              </w:rPr>
              <w:t>31%</w:t>
            </w:r>
          </w:p>
        </w:tc>
      </w:tr>
      <w:tr w:rsidR="00B04A38" w:rsidRPr="00C4462E" w14:paraId="7EBBD574" w14:textId="77777777" w:rsidTr="002D30ED">
        <w:tc>
          <w:tcPr>
            <w:tcW w:w="2601" w:type="dxa"/>
          </w:tcPr>
          <w:p w14:paraId="1B8AD9B2" w14:textId="77777777" w:rsidR="00B04A38" w:rsidRPr="00C4462E" w:rsidRDefault="00B04A38" w:rsidP="002D30ED">
            <w:pPr>
              <w:pStyle w:val="ListParagraph"/>
              <w:ind w:left="0"/>
              <w:jc w:val="both"/>
              <w:rPr>
                <w:sz w:val="22"/>
                <w:szCs w:val="22"/>
              </w:rPr>
            </w:pPr>
            <w:r w:rsidRPr="00C4462E">
              <w:rPr>
                <w:sz w:val="22"/>
                <w:szCs w:val="22"/>
              </w:rPr>
              <w:t>South Oxfordshire</w:t>
            </w:r>
          </w:p>
        </w:tc>
        <w:tc>
          <w:tcPr>
            <w:tcW w:w="3358" w:type="dxa"/>
          </w:tcPr>
          <w:p w14:paraId="38CE3DD5" w14:textId="77777777" w:rsidR="00B04A38" w:rsidRPr="00C4462E" w:rsidRDefault="00B04A38" w:rsidP="002D30ED">
            <w:pPr>
              <w:pStyle w:val="ListParagraph"/>
              <w:ind w:left="0"/>
              <w:jc w:val="both"/>
              <w:rPr>
                <w:sz w:val="22"/>
                <w:szCs w:val="22"/>
              </w:rPr>
            </w:pPr>
            <w:r w:rsidRPr="00C4462E">
              <w:rPr>
                <w:sz w:val="22"/>
                <w:szCs w:val="22"/>
              </w:rPr>
              <w:t>4,950</w:t>
            </w:r>
          </w:p>
        </w:tc>
        <w:tc>
          <w:tcPr>
            <w:tcW w:w="2923" w:type="dxa"/>
          </w:tcPr>
          <w:p w14:paraId="5B26E8BF" w14:textId="77777777" w:rsidR="00B04A38" w:rsidRPr="00C4462E" w:rsidRDefault="00B04A38" w:rsidP="002D30ED">
            <w:pPr>
              <w:pStyle w:val="ListParagraph"/>
              <w:ind w:left="0"/>
              <w:jc w:val="both"/>
              <w:rPr>
                <w:sz w:val="22"/>
                <w:szCs w:val="22"/>
              </w:rPr>
            </w:pPr>
            <w:r w:rsidRPr="00C4462E">
              <w:rPr>
                <w:sz w:val="22"/>
                <w:szCs w:val="22"/>
              </w:rPr>
              <w:t>35%</w:t>
            </w:r>
          </w:p>
        </w:tc>
      </w:tr>
      <w:tr w:rsidR="00B04A38" w:rsidRPr="00C4462E" w14:paraId="543E8AAD" w14:textId="77777777" w:rsidTr="002D30ED">
        <w:tc>
          <w:tcPr>
            <w:tcW w:w="2601" w:type="dxa"/>
          </w:tcPr>
          <w:p w14:paraId="06F8BCD4" w14:textId="77777777" w:rsidR="00B04A38" w:rsidRPr="00C4462E" w:rsidRDefault="00B04A38" w:rsidP="002D30ED">
            <w:pPr>
              <w:pStyle w:val="ListParagraph"/>
              <w:ind w:left="0"/>
              <w:jc w:val="both"/>
              <w:rPr>
                <w:sz w:val="22"/>
                <w:szCs w:val="22"/>
              </w:rPr>
            </w:pPr>
            <w:r w:rsidRPr="00C4462E">
              <w:rPr>
                <w:sz w:val="22"/>
                <w:szCs w:val="22"/>
              </w:rPr>
              <w:t>Vale of White Horse</w:t>
            </w:r>
          </w:p>
        </w:tc>
        <w:tc>
          <w:tcPr>
            <w:tcW w:w="3358" w:type="dxa"/>
          </w:tcPr>
          <w:p w14:paraId="0F70C3E5" w14:textId="77777777" w:rsidR="00B04A38" w:rsidRPr="00C4462E" w:rsidRDefault="00B04A38" w:rsidP="002D30ED">
            <w:pPr>
              <w:pStyle w:val="ListParagraph"/>
              <w:ind w:left="0"/>
              <w:jc w:val="both"/>
              <w:rPr>
                <w:sz w:val="22"/>
                <w:szCs w:val="22"/>
              </w:rPr>
            </w:pPr>
            <w:r w:rsidRPr="00C4462E">
              <w:rPr>
                <w:sz w:val="22"/>
                <w:szCs w:val="22"/>
              </w:rPr>
              <w:t>2,200</w:t>
            </w:r>
          </w:p>
        </w:tc>
        <w:tc>
          <w:tcPr>
            <w:tcW w:w="2923" w:type="dxa"/>
          </w:tcPr>
          <w:p w14:paraId="7417E87A" w14:textId="77777777" w:rsidR="00B04A38" w:rsidRPr="00C4462E" w:rsidRDefault="00B04A38" w:rsidP="002D30ED">
            <w:pPr>
              <w:pStyle w:val="ListParagraph"/>
              <w:ind w:left="0"/>
              <w:jc w:val="both"/>
              <w:rPr>
                <w:sz w:val="22"/>
                <w:szCs w:val="22"/>
              </w:rPr>
            </w:pPr>
            <w:r w:rsidRPr="00C4462E">
              <w:rPr>
                <w:sz w:val="22"/>
                <w:szCs w:val="22"/>
              </w:rPr>
              <w:t>15%</w:t>
            </w:r>
          </w:p>
        </w:tc>
      </w:tr>
      <w:tr w:rsidR="00B04A38" w:rsidRPr="00C4462E" w14:paraId="7598E784" w14:textId="77777777" w:rsidTr="002D30ED">
        <w:tc>
          <w:tcPr>
            <w:tcW w:w="2601" w:type="dxa"/>
          </w:tcPr>
          <w:p w14:paraId="7E5B0083" w14:textId="77777777" w:rsidR="00B04A38" w:rsidRPr="00C4462E" w:rsidRDefault="00B04A38" w:rsidP="002D30ED">
            <w:pPr>
              <w:pStyle w:val="ListParagraph"/>
              <w:ind w:left="0"/>
              <w:jc w:val="both"/>
              <w:rPr>
                <w:sz w:val="22"/>
                <w:szCs w:val="22"/>
              </w:rPr>
            </w:pPr>
            <w:r w:rsidRPr="00C4462E">
              <w:rPr>
                <w:sz w:val="22"/>
                <w:szCs w:val="22"/>
              </w:rPr>
              <w:t>West Oxfordshire</w:t>
            </w:r>
          </w:p>
        </w:tc>
        <w:tc>
          <w:tcPr>
            <w:tcW w:w="3358" w:type="dxa"/>
          </w:tcPr>
          <w:p w14:paraId="042F907D" w14:textId="77777777" w:rsidR="00B04A38" w:rsidRPr="00C4462E" w:rsidRDefault="00B04A38" w:rsidP="002D30ED">
            <w:pPr>
              <w:pStyle w:val="ListParagraph"/>
              <w:ind w:left="0"/>
              <w:jc w:val="both"/>
              <w:rPr>
                <w:sz w:val="22"/>
                <w:szCs w:val="22"/>
              </w:rPr>
            </w:pPr>
            <w:r w:rsidRPr="00C4462E">
              <w:rPr>
                <w:sz w:val="22"/>
                <w:szCs w:val="22"/>
              </w:rPr>
              <w:t>2,750</w:t>
            </w:r>
          </w:p>
        </w:tc>
        <w:tc>
          <w:tcPr>
            <w:tcW w:w="2923" w:type="dxa"/>
          </w:tcPr>
          <w:p w14:paraId="2FC6B84B" w14:textId="77777777" w:rsidR="00B04A38" w:rsidRPr="00C4462E" w:rsidRDefault="00B04A38" w:rsidP="002D30ED">
            <w:pPr>
              <w:pStyle w:val="ListParagraph"/>
              <w:ind w:left="0"/>
              <w:jc w:val="both"/>
              <w:rPr>
                <w:sz w:val="22"/>
                <w:szCs w:val="22"/>
              </w:rPr>
            </w:pPr>
            <w:r w:rsidRPr="00C4462E">
              <w:rPr>
                <w:sz w:val="22"/>
                <w:szCs w:val="22"/>
              </w:rPr>
              <w:t>19%</w:t>
            </w:r>
          </w:p>
        </w:tc>
      </w:tr>
      <w:tr w:rsidR="00B04A38" w:rsidRPr="00C4462E" w14:paraId="78F2CB47" w14:textId="77777777" w:rsidTr="002D30ED">
        <w:tc>
          <w:tcPr>
            <w:tcW w:w="2601" w:type="dxa"/>
          </w:tcPr>
          <w:p w14:paraId="05F69DBB" w14:textId="77777777" w:rsidR="00B04A38" w:rsidRPr="00C4462E" w:rsidRDefault="00B04A38" w:rsidP="002D30ED">
            <w:pPr>
              <w:pStyle w:val="ListParagraph"/>
              <w:ind w:left="0"/>
              <w:jc w:val="both"/>
              <w:rPr>
                <w:sz w:val="22"/>
                <w:szCs w:val="22"/>
              </w:rPr>
            </w:pPr>
            <w:r w:rsidRPr="00C4462E">
              <w:rPr>
                <w:sz w:val="22"/>
                <w:szCs w:val="22"/>
              </w:rPr>
              <w:t>Total</w:t>
            </w:r>
          </w:p>
        </w:tc>
        <w:tc>
          <w:tcPr>
            <w:tcW w:w="3358" w:type="dxa"/>
          </w:tcPr>
          <w:p w14:paraId="610DBC43" w14:textId="77777777" w:rsidR="00B04A38" w:rsidRPr="00C4462E" w:rsidRDefault="00B04A38" w:rsidP="002D30ED">
            <w:pPr>
              <w:pStyle w:val="ListParagraph"/>
              <w:ind w:left="0"/>
              <w:jc w:val="both"/>
              <w:rPr>
                <w:sz w:val="22"/>
                <w:szCs w:val="22"/>
              </w:rPr>
            </w:pPr>
            <w:r w:rsidRPr="00C4462E">
              <w:rPr>
                <w:sz w:val="22"/>
                <w:szCs w:val="22"/>
              </w:rPr>
              <w:t>14,300</w:t>
            </w:r>
          </w:p>
        </w:tc>
        <w:tc>
          <w:tcPr>
            <w:tcW w:w="2923" w:type="dxa"/>
          </w:tcPr>
          <w:p w14:paraId="66FC526B" w14:textId="77777777" w:rsidR="00B04A38" w:rsidRPr="00C4462E" w:rsidRDefault="00B04A38" w:rsidP="002D30ED">
            <w:pPr>
              <w:pStyle w:val="ListParagraph"/>
              <w:ind w:left="0"/>
              <w:jc w:val="both"/>
              <w:rPr>
                <w:sz w:val="22"/>
                <w:szCs w:val="22"/>
              </w:rPr>
            </w:pPr>
            <w:r w:rsidRPr="00C4462E">
              <w:rPr>
                <w:sz w:val="22"/>
                <w:szCs w:val="22"/>
              </w:rPr>
              <w:t>100%</w:t>
            </w:r>
          </w:p>
        </w:tc>
      </w:tr>
    </w:tbl>
    <w:p w14:paraId="1DA821DA" w14:textId="77777777" w:rsidR="00AE2BEF" w:rsidRPr="00B04A38" w:rsidRDefault="00AE2BEF" w:rsidP="00B04A38">
      <w:pPr>
        <w:rPr>
          <w:sz w:val="22"/>
          <w:szCs w:val="22"/>
        </w:rPr>
      </w:pPr>
    </w:p>
    <w:p w14:paraId="01583A2A" w14:textId="1C356C27" w:rsidR="00EC4438" w:rsidRPr="00C4462E" w:rsidRDefault="003A67E0" w:rsidP="003A67E0">
      <w:pPr>
        <w:pStyle w:val="ListParagraph"/>
        <w:numPr>
          <w:ilvl w:val="0"/>
          <w:numId w:val="32"/>
        </w:numPr>
        <w:jc w:val="both"/>
        <w:rPr>
          <w:sz w:val="22"/>
          <w:szCs w:val="22"/>
        </w:rPr>
      </w:pPr>
      <w:r w:rsidRPr="00C4462E">
        <w:rPr>
          <w:sz w:val="22"/>
          <w:szCs w:val="22"/>
        </w:rPr>
        <w:t>We understand that</w:t>
      </w:r>
      <w:r w:rsidR="00EC4438" w:rsidRPr="00C4462E">
        <w:rPr>
          <w:sz w:val="22"/>
          <w:szCs w:val="22"/>
        </w:rPr>
        <w:t xml:space="preserve"> very few houses have </w:t>
      </w:r>
      <w:r w:rsidRPr="00C4462E">
        <w:rPr>
          <w:sz w:val="22"/>
          <w:szCs w:val="22"/>
        </w:rPr>
        <w:t>since 2011</w:t>
      </w:r>
      <w:r w:rsidR="00EC4438" w:rsidRPr="00C4462E">
        <w:rPr>
          <w:sz w:val="22"/>
          <w:szCs w:val="22"/>
        </w:rPr>
        <w:t xml:space="preserve"> been built on sites identified as addressing Oxford’s unmet need.  </w:t>
      </w:r>
      <w:r w:rsidR="00AE2BEF" w:rsidRPr="00C4462E">
        <w:rPr>
          <w:sz w:val="22"/>
          <w:szCs w:val="22"/>
        </w:rPr>
        <w:t>In Cherwell District, none of the 4,400 houses have yet been built (</w:t>
      </w:r>
      <w:r w:rsidR="00E27EC4" w:rsidRPr="00C4462E">
        <w:rPr>
          <w:sz w:val="22"/>
          <w:szCs w:val="22"/>
        </w:rPr>
        <w:t>these are separately identified</w:t>
      </w:r>
      <w:r w:rsidR="00AE2BEF" w:rsidRPr="00C4462E">
        <w:rPr>
          <w:sz w:val="22"/>
          <w:szCs w:val="22"/>
        </w:rPr>
        <w:t xml:space="preserve"> in their February 2023 </w:t>
      </w:r>
      <w:hyperlink r:id="rId16" w:history="1">
        <w:r w:rsidR="00AE2BEF" w:rsidRPr="00C4462E">
          <w:rPr>
            <w:rStyle w:val="Hyperlink"/>
            <w:color w:val="auto"/>
            <w:sz w:val="22"/>
            <w:szCs w:val="22"/>
          </w:rPr>
          <w:t>Housing Land Supply Statement</w:t>
        </w:r>
      </w:hyperlink>
      <w:r w:rsidR="00AE2BEF" w:rsidRPr="00C4462E">
        <w:rPr>
          <w:sz w:val="22"/>
          <w:szCs w:val="22"/>
        </w:rPr>
        <w:t xml:space="preserve">). </w:t>
      </w:r>
    </w:p>
    <w:p w14:paraId="60CB341E" w14:textId="77777777" w:rsidR="00067A7B" w:rsidRPr="00C4462E" w:rsidRDefault="00067A7B" w:rsidP="00F07B51">
      <w:pPr>
        <w:pStyle w:val="ListParagraph"/>
        <w:ind w:left="360"/>
        <w:jc w:val="both"/>
        <w:rPr>
          <w:sz w:val="22"/>
          <w:szCs w:val="22"/>
        </w:rPr>
      </w:pPr>
    </w:p>
    <w:p w14:paraId="4D85B0C8" w14:textId="26DC5D29" w:rsidR="00BE73CA" w:rsidRPr="00C4462E" w:rsidRDefault="00BE73CA" w:rsidP="00F07B51">
      <w:pPr>
        <w:pStyle w:val="ListParagraph"/>
        <w:numPr>
          <w:ilvl w:val="0"/>
          <w:numId w:val="32"/>
        </w:numPr>
        <w:jc w:val="both"/>
        <w:rPr>
          <w:sz w:val="22"/>
          <w:szCs w:val="22"/>
        </w:rPr>
      </w:pPr>
      <w:r w:rsidRPr="00C4462E">
        <w:rPr>
          <w:sz w:val="22"/>
          <w:szCs w:val="22"/>
        </w:rPr>
        <w:t>Th</w:t>
      </w:r>
      <w:r w:rsidR="00AE2BEF" w:rsidRPr="00C4462E">
        <w:rPr>
          <w:sz w:val="22"/>
          <w:szCs w:val="22"/>
        </w:rPr>
        <w:t>is</w:t>
      </w:r>
      <w:r w:rsidRPr="00C4462E">
        <w:rPr>
          <w:sz w:val="22"/>
          <w:szCs w:val="22"/>
        </w:rPr>
        <w:t xml:space="preserve"> consultation document states: ‘Most if not </w:t>
      </w:r>
      <w:proofErr w:type="gramStart"/>
      <w:r w:rsidRPr="00C4462E">
        <w:rPr>
          <w:sz w:val="22"/>
          <w:szCs w:val="22"/>
        </w:rPr>
        <w:t>all of</w:t>
      </w:r>
      <w:proofErr w:type="gramEnd"/>
      <w:r w:rsidRPr="00C4462E">
        <w:rPr>
          <w:sz w:val="22"/>
          <w:szCs w:val="22"/>
        </w:rPr>
        <w:t xml:space="preserve"> the proportion of unmet need implied by the need figure compared to the estimated capacity is likely to have been already provided for in existing allocations in neighbouring Council’s local plans. This will depend on the deliverability of those sites, and the quantum of housing and timescales for delivery, which is a matter for the relevant Local Planning Authority.’  </w:t>
      </w:r>
      <w:r w:rsidR="00B45198" w:rsidRPr="00C4462E">
        <w:rPr>
          <w:sz w:val="22"/>
          <w:szCs w:val="22"/>
        </w:rPr>
        <w:t xml:space="preserve">As stated in our response to the previous consultation (paragraph 1-c above) we </w:t>
      </w:r>
      <w:r w:rsidR="009937E0" w:rsidRPr="00C4462E">
        <w:rPr>
          <w:sz w:val="22"/>
          <w:szCs w:val="22"/>
        </w:rPr>
        <w:t>seek</w:t>
      </w:r>
      <w:r w:rsidR="005B51CA">
        <w:rPr>
          <w:sz w:val="22"/>
          <w:szCs w:val="22"/>
        </w:rPr>
        <w:t xml:space="preserve"> a clear table of how many houses are to be provided over what timeframe</w:t>
      </w:r>
      <w:r w:rsidR="00B45198" w:rsidRPr="00C4462E">
        <w:rPr>
          <w:sz w:val="22"/>
          <w:szCs w:val="22"/>
        </w:rPr>
        <w:t xml:space="preserve"> </w:t>
      </w:r>
      <w:r w:rsidR="005B51CA">
        <w:rPr>
          <w:sz w:val="22"/>
          <w:szCs w:val="22"/>
        </w:rPr>
        <w:t xml:space="preserve">from which </w:t>
      </w:r>
      <w:r w:rsidR="00B45198" w:rsidRPr="00C4462E">
        <w:rPr>
          <w:sz w:val="22"/>
          <w:szCs w:val="22"/>
        </w:rPr>
        <w:t>existing</w:t>
      </w:r>
      <w:r w:rsidR="005B51CA">
        <w:rPr>
          <w:sz w:val="22"/>
          <w:szCs w:val="22"/>
        </w:rPr>
        <w:t xml:space="preserve"> District Council</w:t>
      </w:r>
      <w:r w:rsidR="00B45198" w:rsidRPr="00C4462E">
        <w:rPr>
          <w:sz w:val="22"/>
          <w:szCs w:val="22"/>
        </w:rPr>
        <w:t xml:space="preserve"> allocations. </w:t>
      </w:r>
    </w:p>
    <w:p w14:paraId="15F8585C" w14:textId="77777777" w:rsidR="00B45198" w:rsidRPr="00C4462E" w:rsidRDefault="00B45198" w:rsidP="00F07B51">
      <w:pPr>
        <w:pStyle w:val="ListParagraph"/>
        <w:jc w:val="both"/>
        <w:rPr>
          <w:sz w:val="22"/>
          <w:szCs w:val="22"/>
        </w:rPr>
      </w:pPr>
    </w:p>
    <w:p w14:paraId="461DC70D" w14:textId="5491A885" w:rsidR="00615513" w:rsidRDefault="001C1176" w:rsidP="00F07B51">
      <w:pPr>
        <w:pStyle w:val="ListParagraph"/>
        <w:numPr>
          <w:ilvl w:val="0"/>
          <w:numId w:val="32"/>
        </w:numPr>
        <w:jc w:val="both"/>
        <w:rPr>
          <w:sz w:val="22"/>
          <w:szCs w:val="22"/>
        </w:rPr>
      </w:pPr>
      <w:r w:rsidRPr="00C4462E">
        <w:rPr>
          <w:sz w:val="22"/>
          <w:szCs w:val="22"/>
        </w:rPr>
        <w:t>Cherwell District Council’s 11</w:t>
      </w:r>
      <w:r w:rsidRPr="00C4462E">
        <w:rPr>
          <w:sz w:val="22"/>
          <w:szCs w:val="22"/>
          <w:vertAlign w:val="superscript"/>
        </w:rPr>
        <w:t>th</w:t>
      </w:r>
      <w:r w:rsidRPr="00C4462E">
        <w:rPr>
          <w:sz w:val="22"/>
          <w:szCs w:val="22"/>
        </w:rPr>
        <w:t xml:space="preserve"> January and 19</w:t>
      </w:r>
      <w:r w:rsidRPr="00C4462E">
        <w:rPr>
          <w:sz w:val="22"/>
          <w:szCs w:val="22"/>
          <w:vertAlign w:val="superscript"/>
        </w:rPr>
        <w:t>th</w:t>
      </w:r>
      <w:r w:rsidRPr="00C4462E">
        <w:rPr>
          <w:sz w:val="22"/>
          <w:szCs w:val="22"/>
        </w:rPr>
        <w:t xml:space="preserve"> January 2023 papers</w:t>
      </w:r>
      <w:r w:rsidR="00615513" w:rsidRPr="00C4462E">
        <w:rPr>
          <w:sz w:val="22"/>
          <w:szCs w:val="22"/>
        </w:rPr>
        <w:t xml:space="preserve"> </w:t>
      </w:r>
      <w:r w:rsidR="004554AF">
        <w:rPr>
          <w:sz w:val="22"/>
          <w:szCs w:val="22"/>
        </w:rPr>
        <w:t>contained a</w:t>
      </w:r>
      <w:r w:rsidR="00615513" w:rsidRPr="00C4462E">
        <w:rPr>
          <w:sz w:val="22"/>
          <w:szCs w:val="22"/>
        </w:rPr>
        <w:t xml:space="preserve"> proposal that Cherwell District Council provide for 5,667 dwellings between 2020 and 2040 to</w:t>
      </w:r>
      <w:r w:rsidR="004554AF">
        <w:rPr>
          <w:sz w:val="22"/>
          <w:szCs w:val="22"/>
        </w:rPr>
        <w:t xml:space="preserve"> be identified as</w:t>
      </w:r>
      <w:r w:rsidR="00615513" w:rsidRPr="00C4462E">
        <w:rPr>
          <w:sz w:val="22"/>
          <w:szCs w:val="22"/>
        </w:rPr>
        <w:t xml:space="preserve"> help</w:t>
      </w:r>
      <w:r w:rsidR="004554AF">
        <w:rPr>
          <w:sz w:val="22"/>
          <w:szCs w:val="22"/>
        </w:rPr>
        <w:t>ing</w:t>
      </w:r>
      <w:r w:rsidR="00615513" w:rsidRPr="00C4462E">
        <w:rPr>
          <w:sz w:val="22"/>
          <w:szCs w:val="22"/>
        </w:rPr>
        <w:t xml:space="preserve"> address Oxford’s unmet need</w:t>
      </w:r>
      <w:r w:rsidR="00B04A38">
        <w:rPr>
          <w:sz w:val="22"/>
          <w:szCs w:val="22"/>
        </w:rPr>
        <w:t xml:space="preserve"> (equivalent to 283 per year</w:t>
      </w:r>
      <w:r w:rsidR="00BD71A6">
        <w:rPr>
          <w:sz w:val="22"/>
          <w:szCs w:val="22"/>
        </w:rPr>
        <w:t>, in addition to their own assessed need</w:t>
      </w:r>
      <w:r w:rsidR="00B04A38">
        <w:rPr>
          <w:sz w:val="22"/>
          <w:szCs w:val="22"/>
        </w:rPr>
        <w:t>)</w:t>
      </w:r>
      <w:r w:rsidR="00615513" w:rsidRPr="00C4462E">
        <w:rPr>
          <w:sz w:val="22"/>
          <w:szCs w:val="22"/>
        </w:rPr>
        <w:t xml:space="preserve">.  That document indicates that Cherwell has already made provision for 4,400 homes through its Local Plan Partial Review adopted in 2020 and, as none of those have been completed yet and the allocations </w:t>
      </w:r>
      <w:r w:rsidR="009937E0" w:rsidRPr="00C4462E">
        <w:rPr>
          <w:sz w:val="22"/>
          <w:szCs w:val="22"/>
        </w:rPr>
        <w:t>are proposed to</w:t>
      </w:r>
      <w:r w:rsidR="00615513" w:rsidRPr="00C4462E">
        <w:rPr>
          <w:sz w:val="22"/>
          <w:szCs w:val="22"/>
        </w:rPr>
        <w:t xml:space="preserve"> be saved, they will be counted, together with a further 1,267 homes ‘elsewhere in Cherwell’, ‘that are accessible to Oxford, including for example at Bicester’. No specific sites (other than those from the Partial Review) </w:t>
      </w:r>
      <w:r w:rsidR="00E27EC4" w:rsidRPr="00C4462E">
        <w:rPr>
          <w:sz w:val="22"/>
          <w:szCs w:val="22"/>
        </w:rPr>
        <w:t>we</w:t>
      </w:r>
      <w:r w:rsidR="00615513" w:rsidRPr="00C4462E">
        <w:rPr>
          <w:sz w:val="22"/>
          <w:szCs w:val="22"/>
        </w:rPr>
        <w:t xml:space="preserve">re proposed to be identified in the Cherwell Local Plan 2040.  </w:t>
      </w:r>
      <w:r w:rsidR="00BD71A6">
        <w:rPr>
          <w:sz w:val="22"/>
          <w:szCs w:val="22"/>
        </w:rPr>
        <w:t xml:space="preserve">We presume that the figure identified for Cherwell is based on using the 2040 employment distribution with an appropriate increase, something like that shown in Table 6. This is only a guess, </w:t>
      </w:r>
      <w:r w:rsidR="000033F5">
        <w:rPr>
          <w:sz w:val="22"/>
          <w:szCs w:val="22"/>
        </w:rPr>
        <w:t xml:space="preserve">but the table seeks </w:t>
      </w:r>
      <w:r w:rsidR="000033F5">
        <w:rPr>
          <w:sz w:val="22"/>
          <w:szCs w:val="22"/>
        </w:rPr>
        <w:lastRenderedPageBreak/>
        <w:t xml:space="preserve">to extrapolate what that might mean for other District Councils should a total of 4,406 </w:t>
      </w:r>
      <w:proofErr w:type="spellStart"/>
      <w:r w:rsidR="000033F5">
        <w:rPr>
          <w:sz w:val="22"/>
          <w:szCs w:val="22"/>
        </w:rPr>
        <w:t>dpa</w:t>
      </w:r>
      <w:proofErr w:type="spellEnd"/>
      <w:r w:rsidR="000033F5">
        <w:rPr>
          <w:sz w:val="22"/>
          <w:szCs w:val="22"/>
        </w:rPr>
        <w:t xml:space="preserve"> be apportioned using this distribution</w:t>
      </w:r>
      <w:r w:rsidR="00BD71A6">
        <w:rPr>
          <w:sz w:val="22"/>
          <w:szCs w:val="22"/>
        </w:rPr>
        <w:t>.</w:t>
      </w:r>
    </w:p>
    <w:p w14:paraId="31E8F0E0" w14:textId="77777777" w:rsidR="00BD71A6" w:rsidRPr="00BD71A6" w:rsidRDefault="00BD71A6" w:rsidP="00BD71A6">
      <w:pPr>
        <w:pStyle w:val="ListParagraph"/>
        <w:rPr>
          <w:sz w:val="22"/>
          <w:szCs w:val="22"/>
        </w:rPr>
      </w:pPr>
    </w:p>
    <w:p w14:paraId="4E2374E9" w14:textId="36E104A1" w:rsidR="00BD71A6" w:rsidRPr="00BD71A6" w:rsidRDefault="00BD71A6" w:rsidP="00BD71A6">
      <w:pPr>
        <w:pStyle w:val="ListParagraph"/>
        <w:ind w:left="360"/>
        <w:jc w:val="both"/>
        <w:rPr>
          <w:sz w:val="22"/>
          <w:szCs w:val="22"/>
        </w:rPr>
      </w:pPr>
      <w:r>
        <w:rPr>
          <w:sz w:val="22"/>
          <w:szCs w:val="22"/>
        </w:rPr>
        <w:t xml:space="preserve">Table 6 – Possible Distribution Implication </w:t>
      </w:r>
      <w:r w:rsidR="000A0452">
        <w:rPr>
          <w:sz w:val="22"/>
          <w:szCs w:val="22"/>
        </w:rPr>
        <w:t>with Unmet Need</w:t>
      </w:r>
    </w:p>
    <w:tbl>
      <w:tblPr>
        <w:tblStyle w:val="TableGrid"/>
        <w:tblW w:w="0" w:type="auto"/>
        <w:tblLook w:val="04A0" w:firstRow="1" w:lastRow="0" w:firstColumn="1" w:lastColumn="0" w:noHBand="0" w:noVBand="1"/>
      </w:tblPr>
      <w:tblGrid>
        <w:gridCol w:w="2235"/>
        <w:gridCol w:w="1275"/>
        <w:gridCol w:w="1843"/>
        <w:gridCol w:w="3675"/>
      </w:tblGrid>
      <w:tr w:rsidR="00BD71A6" w:rsidRPr="00C4462E" w14:paraId="3EEC6030" w14:textId="77777777" w:rsidTr="002D30ED">
        <w:tc>
          <w:tcPr>
            <w:tcW w:w="3510" w:type="dxa"/>
            <w:gridSpan w:val="2"/>
          </w:tcPr>
          <w:p w14:paraId="64BE5C5B" w14:textId="77777777" w:rsidR="00BD71A6" w:rsidRPr="00C4462E" w:rsidRDefault="00BD71A6" w:rsidP="002D30ED">
            <w:pPr>
              <w:rPr>
                <w:sz w:val="22"/>
                <w:szCs w:val="22"/>
              </w:rPr>
            </w:pPr>
            <w:r w:rsidRPr="00C4462E">
              <w:rPr>
                <w:sz w:val="22"/>
                <w:szCs w:val="22"/>
              </w:rPr>
              <w:t>CE Baseline Trend Employment Based Distribution Projected (2040) Distribution</w:t>
            </w:r>
          </w:p>
        </w:tc>
        <w:tc>
          <w:tcPr>
            <w:tcW w:w="1843" w:type="dxa"/>
          </w:tcPr>
          <w:p w14:paraId="75E9FFBF" w14:textId="77777777" w:rsidR="00BD71A6" w:rsidRPr="00C4462E" w:rsidRDefault="00BD71A6" w:rsidP="002D30ED">
            <w:pPr>
              <w:jc w:val="center"/>
              <w:rPr>
                <w:sz w:val="22"/>
                <w:szCs w:val="22"/>
              </w:rPr>
            </w:pPr>
            <w:r w:rsidRPr="00C4462E">
              <w:rPr>
                <w:sz w:val="22"/>
                <w:szCs w:val="22"/>
              </w:rPr>
              <w:t>Cambridge Econometrics Baseline Trend</w:t>
            </w:r>
          </w:p>
        </w:tc>
        <w:tc>
          <w:tcPr>
            <w:tcW w:w="3675" w:type="dxa"/>
          </w:tcPr>
          <w:p w14:paraId="2D0549C9" w14:textId="77777777" w:rsidR="00BD71A6" w:rsidRPr="00C4462E" w:rsidRDefault="00BD71A6" w:rsidP="002D30ED">
            <w:pPr>
              <w:rPr>
                <w:sz w:val="22"/>
                <w:szCs w:val="22"/>
              </w:rPr>
            </w:pPr>
            <w:r w:rsidRPr="00C4462E">
              <w:rPr>
                <w:sz w:val="22"/>
                <w:szCs w:val="22"/>
              </w:rPr>
              <w:t>Cambridge Econometrics Baseline Trend</w:t>
            </w:r>
            <w:r>
              <w:rPr>
                <w:sz w:val="22"/>
                <w:szCs w:val="22"/>
              </w:rPr>
              <w:t xml:space="preserve"> with proportions of 865 </w:t>
            </w:r>
            <w:proofErr w:type="spellStart"/>
            <w:r>
              <w:rPr>
                <w:sz w:val="22"/>
                <w:szCs w:val="22"/>
              </w:rPr>
              <w:t>dpa</w:t>
            </w:r>
            <w:proofErr w:type="spellEnd"/>
            <w:r>
              <w:rPr>
                <w:sz w:val="22"/>
                <w:szCs w:val="22"/>
              </w:rPr>
              <w:t xml:space="preserve"> unmet need equally increased </w:t>
            </w:r>
          </w:p>
        </w:tc>
      </w:tr>
      <w:tr w:rsidR="00BD71A6" w:rsidRPr="00C4462E" w14:paraId="34128ABA" w14:textId="77777777" w:rsidTr="002D30ED">
        <w:tc>
          <w:tcPr>
            <w:tcW w:w="2235" w:type="dxa"/>
          </w:tcPr>
          <w:p w14:paraId="0D32E5CF" w14:textId="77777777" w:rsidR="00BD71A6" w:rsidRPr="00C4462E" w:rsidRDefault="00BD71A6" w:rsidP="002D30ED">
            <w:pPr>
              <w:rPr>
                <w:sz w:val="22"/>
                <w:szCs w:val="22"/>
              </w:rPr>
            </w:pPr>
            <w:r w:rsidRPr="00C4462E">
              <w:rPr>
                <w:sz w:val="22"/>
                <w:szCs w:val="22"/>
              </w:rPr>
              <w:t>Oxfordshire</w:t>
            </w:r>
          </w:p>
        </w:tc>
        <w:tc>
          <w:tcPr>
            <w:tcW w:w="1275" w:type="dxa"/>
          </w:tcPr>
          <w:p w14:paraId="74A6FDE7" w14:textId="77777777" w:rsidR="00BD71A6" w:rsidRPr="00C4462E" w:rsidRDefault="00BD71A6" w:rsidP="002D30ED">
            <w:pPr>
              <w:rPr>
                <w:sz w:val="22"/>
                <w:szCs w:val="22"/>
              </w:rPr>
            </w:pPr>
            <w:r w:rsidRPr="00C4462E">
              <w:rPr>
                <w:sz w:val="22"/>
                <w:szCs w:val="22"/>
              </w:rPr>
              <w:t>100%</w:t>
            </w:r>
          </w:p>
        </w:tc>
        <w:tc>
          <w:tcPr>
            <w:tcW w:w="1843" w:type="dxa"/>
          </w:tcPr>
          <w:p w14:paraId="4567809A" w14:textId="77777777" w:rsidR="00BD71A6" w:rsidRPr="00C4462E" w:rsidRDefault="00BD71A6" w:rsidP="002D30ED">
            <w:pPr>
              <w:jc w:val="right"/>
              <w:rPr>
                <w:sz w:val="22"/>
                <w:szCs w:val="22"/>
              </w:rPr>
            </w:pPr>
            <w:r w:rsidRPr="00C4462E">
              <w:rPr>
                <w:sz w:val="22"/>
                <w:szCs w:val="22"/>
              </w:rPr>
              <w:t>4,406</w:t>
            </w:r>
          </w:p>
        </w:tc>
        <w:tc>
          <w:tcPr>
            <w:tcW w:w="3675" w:type="dxa"/>
          </w:tcPr>
          <w:p w14:paraId="2EBD6D30" w14:textId="77777777" w:rsidR="00BD71A6" w:rsidRPr="00C4462E" w:rsidRDefault="00BD71A6" w:rsidP="002D30ED">
            <w:pPr>
              <w:jc w:val="right"/>
              <w:rPr>
                <w:sz w:val="22"/>
                <w:szCs w:val="22"/>
              </w:rPr>
            </w:pPr>
            <w:r>
              <w:rPr>
                <w:sz w:val="22"/>
                <w:szCs w:val="22"/>
              </w:rPr>
              <w:t>100%= 4,406</w:t>
            </w:r>
          </w:p>
        </w:tc>
      </w:tr>
      <w:tr w:rsidR="00BD71A6" w:rsidRPr="00C4462E" w14:paraId="024D0FA5" w14:textId="77777777" w:rsidTr="002D30ED">
        <w:tc>
          <w:tcPr>
            <w:tcW w:w="2235" w:type="dxa"/>
          </w:tcPr>
          <w:p w14:paraId="4660D591" w14:textId="77777777" w:rsidR="00BD71A6" w:rsidRPr="00C4462E" w:rsidRDefault="00BD71A6" w:rsidP="002D30ED">
            <w:pPr>
              <w:rPr>
                <w:sz w:val="22"/>
                <w:szCs w:val="22"/>
              </w:rPr>
            </w:pPr>
            <w:r w:rsidRPr="00C4462E">
              <w:rPr>
                <w:sz w:val="22"/>
                <w:szCs w:val="22"/>
              </w:rPr>
              <w:t>Cherwell</w:t>
            </w:r>
          </w:p>
        </w:tc>
        <w:tc>
          <w:tcPr>
            <w:tcW w:w="1275" w:type="dxa"/>
          </w:tcPr>
          <w:p w14:paraId="0BEDE6E8" w14:textId="77777777" w:rsidR="00BD71A6" w:rsidRPr="00C4462E" w:rsidRDefault="00BD71A6" w:rsidP="002D30ED">
            <w:pPr>
              <w:rPr>
                <w:sz w:val="22"/>
                <w:szCs w:val="22"/>
              </w:rPr>
            </w:pPr>
            <w:r w:rsidRPr="00C4462E">
              <w:rPr>
                <w:sz w:val="22"/>
                <w:szCs w:val="22"/>
              </w:rPr>
              <w:t>22.9%</w:t>
            </w:r>
          </w:p>
        </w:tc>
        <w:tc>
          <w:tcPr>
            <w:tcW w:w="1843" w:type="dxa"/>
          </w:tcPr>
          <w:p w14:paraId="40C013D8" w14:textId="77777777" w:rsidR="00BD71A6" w:rsidRPr="00C4462E" w:rsidRDefault="00BD71A6" w:rsidP="002D30ED">
            <w:pPr>
              <w:jc w:val="right"/>
              <w:rPr>
                <w:sz w:val="22"/>
                <w:szCs w:val="22"/>
              </w:rPr>
            </w:pPr>
            <w:r w:rsidRPr="00C4462E">
              <w:rPr>
                <w:sz w:val="22"/>
                <w:szCs w:val="22"/>
              </w:rPr>
              <w:t>1,009</w:t>
            </w:r>
          </w:p>
        </w:tc>
        <w:tc>
          <w:tcPr>
            <w:tcW w:w="3675" w:type="dxa"/>
          </w:tcPr>
          <w:p w14:paraId="23C61CD6" w14:textId="54E4D77E" w:rsidR="00BD71A6" w:rsidRPr="00C4462E" w:rsidRDefault="00BD71A6" w:rsidP="002D30ED">
            <w:pPr>
              <w:jc w:val="right"/>
              <w:rPr>
                <w:sz w:val="22"/>
                <w:szCs w:val="22"/>
              </w:rPr>
            </w:pPr>
            <w:proofErr w:type="spellStart"/>
            <w:r>
              <w:rPr>
                <w:sz w:val="22"/>
                <w:szCs w:val="22"/>
              </w:rPr>
              <w:t>approx</w:t>
            </w:r>
            <w:proofErr w:type="spellEnd"/>
            <w:r>
              <w:rPr>
                <w:sz w:val="22"/>
                <w:szCs w:val="22"/>
              </w:rPr>
              <w:t xml:space="preserve"> 29% = 1,2</w:t>
            </w:r>
            <w:r w:rsidR="000033F5">
              <w:rPr>
                <w:sz w:val="22"/>
                <w:szCs w:val="22"/>
              </w:rPr>
              <w:t>92</w:t>
            </w:r>
            <w:r>
              <w:rPr>
                <w:sz w:val="22"/>
                <w:szCs w:val="22"/>
              </w:rPr>
              <w:t xml:space="preserve">  </w:t>
            </w:r>
          </w:p>
        </w:tc>
      </w:tr>
      <w:tr w:rsidR="00BD71A6" w:rsidRPr="00C4462E" w14:paraId="3C6B7E4C" w14:textId="77777777" w:rsidTr="002D30ED">
        <w:tc>
          <w:tcPr>
            <w:tcW w:w="2235" w:type="dxa"/>
          </w:tcPr>
          <w:p w14:paraId="615DCE82" w14:textId="77777777" w:rsidR="00BD71A6" w:rsidRPr="00C4462E" w:rsidRDefault="00BD71A6" w:rsidP="002D30ED">
            <w:pPr>
              <w:rPr>
                <w:sz w:val="22"/>
                <w:szCs w:val="22"/>
              </w:rPr>
            </w:pPr>
            <w:r w:rsidRPr="00C4462E">
              <w:rPr>
                <w:sz w:val="22"/>
                <w:szCs w:val="22"/>
              </w:rPr>
              <w:t>Oxford City</w:t>
            </w:r>
          </w:p>
        </w:tc>
        <w:tc>
          <w:tcPr>
            <w:tcW w:w="1275" w:type="dxa"/>
          </w:tcPr>
          <w:p w14:paraId="66C83974" w14:textId="77777777" w:rsidR="00BD71A6" w:rsidRPr="00C4462E" w:rsidRDefault="00BD71A6" w:rsidP="002D30ED">
            <w:pPr>
              <w:rPr>
                <w:sz w:val="22"/>
                <w:szCs w:val="22"/>
              </w:rPr>
            </w:pPr>
            <w:r w:rsidRPr="00C4462E">
              <w:rPr>
                <w:sz w:val="22"/>
                <w:szCs w:val="22"/>
              </w:rPr>
              <w:t>30%</w:t>
            </w:r>
          </w:p>
        </w:tc>
        <w:tc>
          <w:tcPr>
            <w:tcW w:w="1843" w:type="dxa"/>
          </w:tcPr>
          <w:p w14:paraId="2A50FB06" w14:textId="77777777" w:rsidR="00BD71A6" w:rsidRPr="00BD71A6" w:rsidRDefault="00BD71A6" w:rsidP="002D30ED">
            <w:pPr>
              <w:jc w:val="right"/>
              <w:rPr>
                <w:sz w:val="22"/>
                <w:szCs w:val="22"/>
              </w:rPr>
            </w:pPr>
            <w:r w:rsidRPr="00BD71A6">
              <w:rPr>
                <w:sz w:val="22"/>
                <w:szCs w:val="22"/>
              </w:rPr>
              <w:t>1,322</w:t>
            </w:r>
          </w:p>
        </w:tc>
        <w:tc>
          <w:tcPr>
            <w:tcW w:w="3675" w:type="dxa"/>
          </w:tcPr>
          <w:p w14:paraId="7FBACD86" w14:textId="4BE33A03" w:rsidR="00BD71A6" w:rsidRPr="00C4462E" w:rsidRDefault="000033F5" w:rsidP="002D30ED">
            <w:pPr>
              <w:jc w:val="right"/>
              <w:rPr>
                <w:sz w:val="22"/>
                <w:szCs w:val="22"/>
              </w:rPr>
            </w:pPr>
            <w:proofErr w:type="spellStart"/>
            <w:r>
              <w:rPr>
                <w:sz w:val="22"/>
                <w:szCs w:val="22"/>
              </w:rPr>
              <w:t>approx</w:t>
            </w:r>
            <w:proofErr w:type="spellEnd"/>
            <w:r>
              <w:rPr>
                <w:sz w:val="22"/>
                <w:szCs w:val="22"/>
              </w:rPr>
              <w:t xml:space="preserve"> </w:t>
            </w:r>
            <w:r w:rsidR="00BD71A6">
              <w:rPr>
                <w:sz w:val="22"/>
                <w:szCs w:val="22"/>
              </w:rPr>
              <w:t>10% = 457</w:t>
            </w:r>
          </w:p>
        </w:tc>
      </w:tr>
      <w:tr w:rsidR="00BD71A6" w:rsidRPr="00C4462E" w14:paraId="51B93A5B" w14:textId="77777777" w:rsidTr="002D30ED">
        <w:tc>
          <w:tcPr>
            <w:tcW w:w="2235" w:type="dxa"/>
          </w:tcPr>
          <w:p w14:paraId="02D903C1" w14:textId="77777777" w:rsidR="00BD71A6" w:rsidRPr="00C4462E" w:rsidRDefault="00BD71A6" w:rsidP="002D30ED">
            <w:pPr>
              <w:rPr>
                <w:sz w:val="22"/>
                <w:szCs w:val="22"/>
              </w:rPr>
            </w:pPr>
            <w:r w:rsidRPr="00C4462E">
              <w:rPr>
                <w:sz w:val="22"/>
                <w:szCs w:val="22"/>
              </w:rPr>
              <w:t>South Oxfordshire</w:t>
            </w:r>
          </w:p>
        </w:tc>
        <w:tc>
          <w:tcPr>
            <w:tcW w:w="1275" w:type="dxa"/>
          </w:tcPr>
          <w:p w14:paraId="5A71A3EE" w14:textId="77777777" w:rsidR="00BD71A6" w:rsidRPr="00C4462E" w:rsidRDefault="00BD71A6" w:rsidP="002D30ED">
            <w:pPr>
              <w:rPr>
                <w:sz w:val="22"/>
                <w:szCs w:val="22"/>
              </w:rPr>
            </w:pPr>
            <w:r w:rsidRPr="00C4462E">
              <w:rPr>
                <w:sz w:val="22"/>
                <w:szCs w:val="22"/>
              </w:rPr>
              <w:t>18%</w:t>
            </w:r>
          </w:p>
        </w:tc>
        <w:tc>
          <w:tcPr>
            <w:tcW w:w="1843" w:type="dxa"/>
          </w:tcPr>
          <w:p w14:paraId="54AAD0BB" w14:textId="77777777" w:rsidR="00BD71A6" w:rsidRPr="00C4462E" w:rsidRDefault="00BD71A6" w:rsidP="002D30ED">
            <w:pPr>
              <w:jc w:val="right"/>
              <w:rPr>
                <w:sz w:val="22"/>
                <w:szCs w:val="22"/>
              </w:rPr>
            </w:pPr>
            <w:r w:rsidRPr="00C4462E">
              <w:rPr>
                <w:sz w:val="22"/>
                <w:szCs w:val="22"/>
              </w:rPr>
              <w:t>793</w:t>
            </w:r>
          </w:p>
        </w:tc>
        <w:tc>
          <w:tcPr>
            <w:tcW w:w="3675" w:type="dxa"/>
          </w:tcPr>
          <w:p w14:paraId="38167CA9" w14:textId="77777777" w:rsidR="00BD71A6" w:rsidRPr="00C4462E" w:rsidRDefault="00BD71A6" w:rsidP="002D30ED">
            <w:pPr>
              <w:jc w:val="right"/>
              <w:rPr>
                <w:sz w:val="22"/>
                <w:szCs w:val="22"/>
              </w:rPr>
            </w:pPr>
            <w:proofErr w:type="spellStart"/>
            <w:r>
              <w:rPr>
                <w:sz w:val="22"/>
                <w:szCs w:val="22"/>
              </w:rPr>
              <w:t>approx</w:t>
            </w:r>
            <w:proofErr w:type="spellEnd"/>
            <w:r>
              <w:rPr>
                <w:sz w:val="22"/>
                <w:szCs w:val="22"/>
              </w:rPr>
              <w:t xml:space="preserve"> 24% = 1,057</w:t>
            </w:r>
          </w:p>
        </w:tc>
      </w:tr>
      <w:tr w:rsidR="00BD71A6" w:rsidRPr="00C4462E" w14:paraId="6CA3ED25" w14:textId="77777777" w:rsidTr="002D30ED">
        <w:tc>
          <w:tcPr>
            <w:tcW w:w="2235" w:type="dxa"/>
          </w:tcPr>
          <w:p w14:paraId="4A00A287" w14:textId="77777777" w:rsidR="00BD71A6" w:rsidRPr="00C4462E" w:rsidRDefault="00BD71A6" w:rsidP="002D30ED">
            <w:pPr>
              <w:rPr>
                <w:sz w:val="22"/>
                <w:szCs w:val="22"/>
              </w:rPr>
            </w:pPr>
            <w:r w:rsidRPr="00C4462E">
              <w:rPr>
                <w:sz w:val="22"/>
                <w:szCs w:val="22"/>
              </w:rPr>
              <w:t>Vale of White Horse</w:t>
            </w:r>
          </w:p>
        </w:tc>
        <w:tc>
          <w:tcPr>
            <w:tcW w:w="1275" w:type="dxa"/>
          </w:tcPr>
          <w:p w14:paraId="1567FD59" w14:textId="77777777" w:rsidR="00BD71A6" w:rsidRPr="00C4462E" w:rsidRDefault="00BD71A6" w:rsidP="002D30ED">
            <w:pPr>
              <w:rPr>
                <w:sz w:val="22"/>
                <w:szCs w:val="22"/>
              </w:rPr>
            </w:pPr>
            <w:r w:rsidRPr="00C4462E">
              <w:rPr>
                <w:sz w:val="22"/>
                <w:szCs w:val="22"/>
              </w:rPr>
              <w:t>16.2%</w:t>
            </w:r>
          </w:p>
        </w:tc>
        <w:tc>
          <w:tcPr>
            <w:tcW w:w="1843" w:type="dxa"/>
          </w:tcPr>
          <w:p w14:paraId="516EECD0" w14:textId="77777777" w:rsidR="00BD71A6" w:rsidRPr="00C4462E" w:rsidRDefault="00BD71A6" w:rsidP="002D30ED">
            <w:pPr>
              <w:jc w:val="right"/>
              <w:rPr>
                <w:sz w:val="22"/>
                <w:szCs w:val="22"/>
              </w:rPr>
            </w:pPr>
            <w:r w:rsidRPr="00C4462E">
              <w:rPr>
                <w:sz w:val="22"/>
                <w:szCs w:val="22"/>
              </w:rPr>
              <w:t>714</w:t>
            </w:r>
          </w:p>
        </w:tc>
        <w:tc>
          <w:tcPr>
            <w:tcW w:w="3675" w:type="dxa"/>
          </w:tcPr>
          <w:p w14:paraId="277FCB38" w14:textId="77777777" w:rsidR="00BD71A6" w:rsidRPr="00C4462E" w:rsidRDefault="00BD71A6" w:rsidP="002D30ED">
            <w:pPr>
              <w:jc w:val="right"/>
              <w:rPr>
                <w:sz w:val="22"/>
                <w:szCs w:val="22"/>
              </w:rPr>
            </w:pPr>
            <w:proofErr w:type="spellStart"/>
            <w:r>
              <w:rPr>
                <w:sz w:val="22"/>
                <w:szCs w:val="22"/>
              </w:rPr>
              <w:t>approx</w:t>
            </w:r>
            <w:proofErr w:type="spellEnd"/>
            <w:r>
              <w:rPr>
                <w:sz w:val="22"/>
                <w:szCs w:val="22"/>
              </w:rPr>
              <w:t xml:space="preserve"> 20% = 881 </w:t>
            </w:r>
          </w:p>
        </w:tc>
      </w:tr>
      <w:tr w:rsidR="00BD71A6" w:rsidRPr="00C4462E" w14:paraId="5E91EF89" w14:textId="77777777" w:rsidTr="002D30ED">
        <w:tc>
          <w:tcPr>
            <w:tcW w:w="2235" w:type="dxa"/>
          </w:tcPr>
          <w:p w14:paraId="67CDA16B" w14:textId="77777777" w:rsidR="00BD71A6" w:rsidRPr="00C4462E" w:rsidRDefault="00BD71A6" w:rsidP="002D30ED">
            <w:pPr>
              <w:rPr>
                <w:sz w:val="22"/>
                <w:szCs w:val="22"/>
              </w:rPr>
            </w:pPr>
            <w:r w:rsidRPr="00C4462E">
              <w:rPr>
                <w:sz w:val="22"/>
                <w:szCs w:val="22"/>
              </w:rPr>
              <w:t>West Oxfordshire</w:t>
            </w:r>
          </w:p>
        </w:tc>
        <w:tc>
          <w:tcPr>
            <w:tcW w:w="1275" w:type="dxa"/>
          </w:tcPr>
          <w:p w14:paraId="56B6852C" w14:textId="77777777" w:rsidR="00BD71A6" w:rsidRPr="00C4462E" w:rsidRDefault="00BD71A6" w:rsidP="002D30ED">
            <w:pPr>
              <w:rPr>
                <w:sz w:val="22"/>
                <w:szCs w:val="22"/>
              </w:rPr>
            </w:pPr>
            <w:r w:rsidRPr="00C4462E">
              <w:rPr>
                <w:sz w:val="22"/>
                <w:szCs w:val="22"/>
              </w:rPr>
              <w:t>12.8%</w:t>
            </w:r>
          </w:p>
        </w:tc>
        <w:tc>
          <w:tcPr>
            <w:tcW w:w="1843" w:type="dxa"/>
          </w:tcPr>
          <w:p w14:paraId="331FDA21" w14:textId="77777777" w:rsidR="00BD71A6" w:rsidRPr="00C4462E" w:rsidRDefault="00BD71A6" w:rsidP="002D30ED">
            <w:pPr>
              <w:jc w:val="right"/>
              <w:rPr>
                <w:sz w:val="22"/>
                <w:szCs w:val="22"/>
              </w:rPr>
            </w:pPr>
            <w:r w:rsidRPr="00C4462E">
              <w:rPr>
                <w:sz w:val="22"/>
                <w:szCs w:val="22"/>
              </w:rPr>
              <w:t>564</w:t>
            </w:r>
          </w:p>
        </w:tc>
        <w:tc>
          <w:tcPr>
            <w:tcW w:w="3675" w:type="dxa"/>
          </w:tcPr>
          <w:p w14:paraId="67FFE21A" w14:textId="77777777" w:rsidR="00BD71A6" w:rsidRPr="00C4462E" w:rsidRDefault="00BD71A6" w:rsidP="002D30ED">
            <w:pPr>
              <w:jc w:val="right"/>
              <w:rPr>
                <w:sz w:val="22"/>
                <w:szCs w:val="22"/>
              </w:rPr>
            </w:pPr>
            <w:proofErr w:type="spellStart"/>
            <w:r>
              <w:rPr>
                <w:sz w:val="22"/>
                <w:szCs w:val="22"/>
              </w:rPr>
              <w:t>approx</w:t>
            </w:r>
            <w:proofErr w:type="spellEnd"/>
            <w:r>
              <w:rPr>
                <w:sz w:val="22"/>
                <w:szCs w:val="22"/>
              </w:rPr>
              <w:t xml:space="preserve"> 16% = 705 </w:t>
            </w:r>
          </w:p>
        </w:tc>
      </w:tr>
    </w:tbl>
    <w:p w14:paraId="7F6A29C4" w14:textId="77777777" w:rsidR="00615513" w:rsidRPr="00BD71A6" w:rsidRDefault="00615513" w:rsidP="00BD71A6">
      <w:pPr>
        <w:jc w:val="both"/>
        <w:rPr>
          <w:sz w:val="22"/>
          <w:szCs w:val="22"/>
        </w:rPr>
      </w:pPr>
    </w:p>
    <w:p w14:paraId="0D346391" w14:textId="4BF4BD32" w:rsidR="00AF2462" w:rsidRPr="00C4462E" w:rsidRDefault="00615513" w:rsidP="00F07B51">
      <w:pPr>
        <w:pStyle w:val="ListParagraph"/>
        <w:numPr>
          <w:ilvl w:val="0"/>
          <w:numId w:val="32"/>
        </w:numPr>
        <w:jc w:val="both"/>
        <w:rPr>
          <w:sz w:val="22"/>
          <w:szCs w:val="22"/>
        </w:rPr>
      </w:pPr>
      <w:r w:rsidRPr="00C4462E">
        <w:rPr>
          <w:sz w:val="22"/>
          <w:szCs w:val="22"/>
        </w:rPr>
        <w:t>At the moment,</w:t>
      </w:r>
      <w:r w:rsidR="00E27EC4" w:rsidRPr="00C4462E">
        <w:rPr>
          <w:sz w:val="22"/>
          <w:szCs w:val="22"/>
        </w:rPr>
        <w:t xml:space="preserve"> </w:t>
      </w:r>
      <w:r w:rsidR="009159BF">
        <w:rPr>
          <w:sz w:val="22"/>
          <w:szCs w:val="22"/>
        </w:rPr>
        <w:t>some sites</w:t>
      </w:r>
      <w:r w:rsidR="00C52DE6">
        <w:rPr>
          <w:sz w:val="22"/>
          <w:szCs w:val="22"/>
        </w:rPr>
        <w:t xml:space="preserve"> outside of Oxford</w:t>
      </w:r>
      <w:r w:rsidRPr="00C4462E">
        <w:rPr>
          <w:sz w:val="22"/>
          <w:szCs w:val="22"/>
        </w:rPr>
        <w:t xml:space="preserve"> have a requirement for affordable housing which is the same as that in Oxford City </w:t>
      </w:r>
      <w:proofErr w:type="gramStart"/>
      <w:r w:rsidRPr="00C4462E">
        <w:rPr>
          <w:sz w:val="22"/>
          <w:szCs w:val="22"/>
        </w:rPr>
        <w:t>i.e.</w:t>
      </w:r>
      <w:proofErr w:type="gramEnd"/>
      <w:r w:rsidRPr="00C4462E">
        <w:rPr>
          <w:sz w:val="22"/>
          <w:szCs w:val="22"/>
        </w:rPr>
        <w:t xml:space="preserve"> 50%. </w:t>
      </w:r>
      <w:r w:rsidR="007173E4">
        <w:rPr>
          <w:sz w:val="22"/>
          <w:szCs w:val="22"/>
        </w:rPr>
        <w:t>We have</w:t>
      </w:r>
      <w:r w:rsidR="007173E4" w:rsidRPr="00C4462E">
        <w:rPr>
          <w:sz w:val="22"/>
          <w:szCs w:val="22"/>
        </w:rPr>
        <w:t xml:space="preserve"> </w:t>
      </w:r>
      <w:r w:rsidR="007173E4">
        <w:rPr>
          <w:sz w:val="22"/>
          <w:szCs w:val="22"/>
        </w:rPr>
        <w:t>listed</w:t>
      </w:r>
      <w:r w:rsidR="007173E4" w:rsidRPr="00C4462E">
        <w:rPr>
          <w:sz w:val="22"/>
          <w:szCs w:val="22"/>
        </w:rPr>
        <w:t xml:space="preserve"> </w:t>
      </w:r>
      <w:r w:rsidR="007173E4">
        <w:rPr>
          <w:sz w:val="22"/>
          <w:szCs w:val="22"/>
        </w:rPr>
        <w:t xml:space="preserve">those we are aware of </w:t>
      </w:r>
      <w:r w:rsidR="007173E4" w:rsidRPr="00C4462E">
        <w:rPr>
          <w:sz w:val="22"/>
          <w:szCs w:val="22"/>
        </w:rPr>
        <w:t xml:space="preserve">in Table </w:t>
      </w:r>
      <w:r w:rsidR="00BD71A6">
        <w:rPr>
          <w:sz w:val="22"/>
          <w:szCs w:val="22"/>
        </w:rPr>
        <w:t>7</w:t>
      </w:r>
      <w:r w:rsidR="007173E4">
        <w:rPr>
          <w:sz w:val="22"/>
          <w:szCs w:val="22"/>
        </w:rPr>
        <w:t xml:space="preserve">.  </w:t>
      </w:r>
      <w:r w:rsidR="008474D2" w:rsidRPr="00C4462E">
        <w:rPr>
          <w:sz w:val="22"/>
          <w:szCs w:val="22"/>
        </w:rPr>
        <w:t xml:space="preserve">In the </w:t>
      </w:r>
      <w:r w:rsidR="007173E4">
        <w:rPr>
          <w:sz w:val="22"/>
          <w:szCs w:val="22"/>
        </w:rPr>
        <w:t xml:space="preserve">January 2023 </w:t>
      </w:r>
      <w:r w:rsidR="001C1176" w:rsidRPr="00C4462E">
        <w:rPr>
          <w:sz w:val="22"/>
          <w:szCs w:val="22"/>
        </w:rPr>
        <w:t xml:space="preserve">Cherwell </w:t>
      </w:r>
      <w:r w:rsidR="008474D2" w:rsidRPr="00C4462E">
        <w:rPr>
          <w:sz w:val="22"/>
          <w:szCs w:val="22"/>
        </w:rPr>
        <w:t>papers</w:t>
      </w:r>
      <w:r w:rsidR="00A17DBB">
        <w:rPr>
          <w:sz w:val="22"/>
          <w:szCs w:val="22"/>
        </w:rPr>
        <w:t>,</w:t>
      </w:r>
      <w:r w:rsidR="008474D2" w:rsidRPr="00C4462E">
        <w:rPr>
          <w:sz w:val="22"/>
          <w:szCs w:val="22"/>
        </w:rPr>
        <w:t xml:space="preserve"> </w:t>
      </w:r>
      <w:r w:rsidR="001C1176" w:rsidRPr="00C4462E">
        <w:rPr>
          <w:sz w:val="22"/>
          <w:szCs w:val="22"/>
        </w:rPr>
        <w:t xml:space="preserve">the recommendation </w:t>
      </w:r>
      <w:r w:rsidR="00A17DBB">
        <w:rPr>
          <w:sz w:val="22"/>
          <w:szCs w:val="22"/>
        </w:rPr>
        <w:t>was</w:t>
      </w:r>
      <w:r w:rsidR="009937E0" w:rsidRPr="00C4462E">
        <w:rPr>
          <w:sz w:val="22"/>
          <w:szCs w:val="22"/>
        </w:rPr>
        <w:t xml:space="preserve"> to</w:t>
      </w:r>
      <w:r w:rsidR="008474D2" w:rsidRPr="00C4462E">
        <w:rPr>
          <w:sz w:val="22"/>
          <w:szCs w:val="22"/>
        </w:rPr>
        <w:t xml:space="preserve"> maintain a commitment to deliver 50% affordable homes </w:t>
      </w:r>
      <w:r w:rsidR="00A17DBB">
        <w:rPr>
          <w:sz w:val="22"/>
          <w:szCs w:val="22"/>
        </w:rPr>
        <w:t xml:space="preserve">to address Oxford’s unmet need </w:t>
      </w:r>
      <w:r w:rsidR="008474D2" w:rsidRPr="00C4462E">
        <w:rPr>
          <w:sz w:val="22"/>
          <w:szCs w:val="22"/>
        </w:rPr>
        <w:t xml:space="preserve">by simply agreeing that an additional 633 new affordable homes in the </w:t>
      </w:r>
      <w:r w:rsidR="009159BF">
        <w:rPr>
          <w:sz w:val="22"/>
          <w:szCs w:val="22"/>
        </w:rPr>
        <w:t>d</w:t>
      </w:r>
      <w:r w:rsidR="008474D2" w:rsidRPr="00C4462E">
        <w:rPr>
          <w:sz w:val="22"/>
          <w:szCs w:val="22"/>
        </w:rPr>
        <w:t>istrict (</w:t>
      </w:r>
      <w:proofErr w:type="gramStart"/>
      <w:r w:rsidR="008474D2" w:rsidRPr="00C4462E">
        <w:rPr>
          <w:sz w:val="22"/>
          <w:szCs w:val="22"/>
        </w:rPr>
        <w:t>i.e.</w:t>
      </w:r>
      <w:proofErr w:type="gramEnd"/>
      <w:r w:rsidR="008474D2" w:rsidRPr="00C4462E">
        <w:rPr>
          <w:sz w:val="22"/>
          <w:szCs w:val="22"/>
        </w:rPr>
        <w:t xml:space="preserve"> 50% of 1,267) would be for Oxford’s unmet need and </w:t>
      </w:r>
      <w:r w:rsidR="00A17DBB">
        <w:rPr>
          <w:sz w:val="22"/>
          <w:szCs w:val="22"/>
        </w:rPr>
        <w:t xml:space="preserve">Cherwell District Council </w:t>
      </w:r>
      <w:r w:rsidR="008474D2" w:rsidRPr="00C4462E">
        <w:rPr>
          <w:sz w:val="22"/>
          <w:szCs w:val="22"/>
        </w:rPr>
        <w:t xml:space="preserve">would use the same mechanism for allocating </w:t>
      </w:r>
      <w:r w:rsidR="00E27EC4" w:rsidRPr="00C4462E">
        <w:rPr>
          <w:sz w:val="22"/>
          <w:szCs w:val="22"/>
        </w:rPr>
        <w:t>633</w:t>
      </w:r>
      <w:r w:rsidR="008474D2" w:rsidRPr="00C4462E">
        <w:rPr>
          <w:sz w:val="22"/>
          <w:szCs w:val="22"/>
        </w:rPr>
        <w:t xml:space="preserve"> affordable homes</w:t>
      </w:r>
      <w:r w:rsidR="00E27EC4" w:rsidRPr="00C4462E">
        <w:rPr>
          <w:sz w:val="22"/>
          <w:szCs w:val="22"/>
        </w:rPr>
        <w:t xml:space="preserve"> in Cherwell</w:t>
      </w:r>
      <w:r w:rsidR="008474D2" w:rsidRPr="00C4462E">
        <w:rPr>
          <w:sz w:val="22"/>
          <w:szCs w:val="22"/>
        </w:rPr>
        <w:t xml:space="preserve"> for Oxford City as for the Partial Review Plan allocation</w:t>
      </w:r>
      <w:r w:rsidR="00E27EC4" w:rsidRPr="00C4462E">
        <w:rPr>
          <w:sz w:val="22"/>
          <w:szCs w:val="22"/>
        </w:rPr>
        <w:t xml:space="preserve"> sites</w:t>
      </w:r>
      <w:r w:rsidR="008474D2" w:rsidRPr="00C4462E">
        <w:rPr>
          <w:sz w:val="22"/>
          <w:szCs w:val="22"/>
        </w:rPr>
        <w:t xml:space="preserve">.  This appears to be a practical response to the issue, </w:t>
      </w:r>
      <w:r w:rsidR="00A17DBB">
        <w:rPr>
          <w:sz w:val="22"/>
          <w:szCs w:val="22"/>
        </w:rPr>
        <w:t>but</w:t>
      </w:r>
      <w:r w:rsidR="00C6089F" w:rsidRPr="00C4462E">
        <w:rPr>
          <w:sz w:val="22"/>
          <w:szCs w:val="22"/>
        </w:rPr>
        <w:t xml:space="preserve"> Cherwell District Council w</w:t>
      </w:r>
      <w:r w:rsidR="00A17DBB">
        <w:rPr>
          <w:sz w:val="22"/>
          <w:szCs w:val="22"/>
        </w:rPr>
        <w:t>ould</w:t>
      </w:r>
      <w:r w:rsidR="00C6089F" w:rsidRPr="00C4462E">
        <w:rPr>
          <w:sz w:val="22"/>
          <w:szCs w:val="22"/>
        </w:rPr>
        <w:t xml:space="preserve"> need to identify affordable homes on more sites given that the development requirement will </w:t>
      </w:r>
      <w:r w:rsidR="009937E0" w:rsidRPr="00C4462E">
        <w:rPr>
          <w:sz w:val="22"/>
          <w:szCs w:val="22"/>
        </w:rPr>
        <w:t xml:space="preserve">likely </w:t>
      </w:r>
      <w:r w:rsidR="00C6089F" w:rsidRPr="00C4462E">
        <w:rPr>
          <w:sz w:val="22"/>
          <w:szCs w:val="22"/>
        </w:rPr>
        <w:t>be for less than 50% on site</w:t>
      </w:r>
      <w:r w:rsidR="009937E0" w:rsidRPr="00C4462E">
        <w:rPr>
          <w:sz w:val="22"/>
          <w:szCs w:val="22"/>
        </w:rPr>
        <w:t xml:space="preserve">s other than those </w:t>
      </w:r>
      <w:r w:rsidR="001C1176" w:rsidRPr="00C4462E">
        <w:rPr>
          <w:sz w:val="22"/>
          <w:szCs w:val="22"/>
        </w:rPr>
        <w:t xml:space="preserve">allocated </w:t>
      </w:r>
      <w:r w:rsidR="009937E0" w:rsidRPr="00C4462E">
        <w:rPr>
          <w:sz w:val="22"/>
          <w:szCs w:val="22"/>
        </w:rPr>
        <w:t>in the Partial Review Plan</w:t>
      </w:r>
      <w:r w:rsidR="003A4102">
        <w:rPr>
          <w:sz w:val="22"/>
          <w:szCs w:val="22"/>
        </w:rPr>
        <w:t xml:space="preserve"> and those </w:t>
      </w:r>
      <w:r w:rsidR="007173E4">
        <w:rPr>
          <w:sz w:val="22"/>
          <w:szCs w:val="22"/>
        </w:rPr>
        <w:t xml:space="preserve">houses </w:t>
      </w:r>
      <w:r w:rsidR="003A4102">
        <w:rPr>
          <w:sz w:val="22"/>
          <w:szCs w:val="22"/>
        </w:rPr>
        <w:t>then won’t be available for other local needs</w:t>
      </w:r>
      <w:r w:rsidR="00C6089F" w:rsidRPr="00C4462E">
        <w:rPr>
          <w:sz w:val="22"/>
          <w:szCs w:val="22"/>
        </w:rPr>
        <w:t>.</w:t>
      </w:r>
      <w:r w:rsidR="008474D2" w:rsidRPr="00C4462E">
        <w:rPr>
          <w:sz w:val="22"/>
          <w:szCs w:val="22"/>
        </w:rPr>
        <w:t xml:space="preserve"> </w:t>
      </w:r>
      <w:r w:rsidR="00A17DBB">
        <w:rPr>
          <w:sz w:val="22"/>
          <w:szCs w:val="22"/>
        </w:rPr>
        <w:t>Given that a decision was not made in January, we do not know whether such an arrangement would be politically acceptable in Cherwell District, and whether such an approach would be followed by other Councils.</w:t>
      </w:r>
    </w:p>
    <w:p w14:paraId="0412DB6A" w14:textId="77777777" w:rsidR="00E27EC4" w:rsidRPr="00C4462E" w:rsidRDefault="00E27EC4" w:rsidP="002F7BEE">
      <w:pPr>
        <w:rPr>
          <w:sz w:val="22"/>
          <w:szCs w:val="22"/>
        </w:rPr>
      </w:pPr>
    </w:p>
    <w:p w14:paraId="2DDC67A0" w14:textId="4C26D58D" w:rsidR="00AF2462" w:rsidRPr="00C4462E" w:rsidRDefault="00AF2462" w:rsidP="009D47DF">
      <w:pPr>
        <w:pStyle w:val="ListParagraph"/>
        <w:ind w:left="360"/>
        <w:jc w:val="both"/>
        <w:rPr>
          <w:sz w:val="22"/>
          <w:szCs w:val="22"/>
        </w:rPr>
      </w:pPr>
      <w:r w:rsidRPr="00C4462E">
        <w:rPr>
          <w:sz w:val="22"/>
          <w:szCs w:val="22"/>
        </w:rPr>
        <w:t xml:space="preserve">Table </w:t>
      </w:r>
      <w:r w:rsidR="00BD71A6">
        <w:rPr>
          <w:sz w:val="22"/>
          <w:szCs w:val="22"/>
        </w:rPr>
        <w:t>7</w:t>
      </w:r>
      <w:r w:rsidRPr="00C4462E">
        <w:rPr>
          <w:sz w:val="22"/>
          <w:szCs w:val="22"/>
        </w:rPr>
        <w:t xml:space="preserve"> – Sites with a 50% requirement for affordable housing outside of Oxford City</w:t>
      </w:r>
    </w:p>
    <w:tbl>
      <w:tblPr>
        <w:tblStyle w:val="TableGrid"/>
        <w:tblW w:w="0" w:type="auto"/>
        <w:tblInd w:w="360" w:type="dxa"/>
        <w:tblLook w:val="04A0" w:firstRow="1" w:lastRow="0" w:firstColumn="1" w:lastColumn="0" w:noHBand="0" w:noVBand="1"/>
      </w:tblPr>
      <w:tblGrid>
        <w:gridCol w:w="4451"/>
        <w:gridCol w:w="4431"/>
      </w:tblGrid>
      <w:tr w:rsidR="00C4462E" w:rsidRPr="00C4462E" w14:paraId="361908A0" w14:textId="77777777" w:rsidTr="00AF2462">
        <w:tc>
          <w:tcPr>
            <w:tcW w:w="4451" w:type="dxa"/>
          </w:tcPr>
          <w:p w14:paraId="4E1EA150" w14:textId="37FFE0B3" w:rsidR="0062529F" w:rsidRPr="00C4462E" w:rsidRDefault="000A0452" w:rsidP="00AF2462">
            <w:pPr>
              <w:pStyle w:val="ListParagraph"/>
              <w:ind w:left="0"/>
              <w:jc w:val="both"/>
              <w:rPr>
                <w:sz w:val="22"/>
                <w:szCs w:val="22"/>
              </w:rPr>
            </w:pPr>
            <w:r>
              <w:rPr>
                <w:sz w:val="22"/>
                <w:szCs w:val="22"/>
              </w:rPr>
              <w:t>Site</w:t>
            </w:r>
          </w:p>
        </w:tc>
        <w:tc>
          <w:tcPr>
            <w:tcW w:w="4431" w:type="dxa"/>
          </w:tcPr>
          <w:p w14:paraId="081F5BFF" w14:textId="5EDF4279" w:rsidR="0062529F" w:rsidRPr="00C4462E" w:rsidRDefault="000A0452" w:rsidP="00AF2462">
            <w:pPr>
              <w:pStyle w:val="ListParagraph"/>
              <w:ind w:left="0"/>
              <w:jc w:val="both"/>
              <w:rPr>
                <w:sz w:val="22"/>
                <w:szCs w:val="22"/>
              </w:rPr>
            </w:pPr>
            <w:r>
              <w:rPr>
                <w:sz w:val="22"/>
                <w:szCs w:val="22"/>
              </w:rPr>
              <w:t>District Council</w:t>
            </w:r>
          </w:p>
        </w:tc>
      </w:tr>
      <w:tr w:rsidR="00C4462E" w:rsidRPr="00C4462E" w14:paraId="0C634898" w14:textId="77777777" w:rsidTr="00AF2462">
        <w:tc>
          <w:tcPr>
            <w:tcW w:w="4451" w:type="dxa"/>
          </w:tcPr>
          <w:p w14:paraId="48526042" w14:textId="1D6670D9" w:rsidR="00AF2462" w:rsidRPr="00C4462E" w:rsidRDefault="00AF2462" w:rsidP="00AF2462">
            <w:pPr>
              <w:pStyle w:val="ListParagraph"/>
              <w:ind w:left="0"/>
              <w:jc w:val="both"/>
              <w:rPr>
                <w:sz w:val="22"/>
                <w:szCs w:val="22"/>
              </w:rPr>
            </w:pPr>
            <w:r w:rsidRPr="00C4462E">
              <w:rPr>
                <w:sz w:val="22"/>
                <w:szCs w:val="22"/>
              </w:rPr>
              <w:t>South of Grenoble Road STRAT11</w:t>
            </w:r>
          </w:p>
        </w:tc>
        <w:tc>
          <w:tcPr>
            <w:tcW w:w="4431" w:type="dxa"/>
          </w:tcPr>
          <w:p w14:paraId="1B43A024" w14:textId="76D98C75" w:rsidR="00AF2462" w:rsidRPr="00C4462E" w:rsidRDefault="00AF2462" w:rsidP="00AF2462">
            <w:pPr>
              <w:pStyle w:val="ListParagraph"/>
              <w:ind w:left="0"/>
              <w:jc w:val="both"/>
              <w:rPr>
                <w:sz w:val="22"/>
                <w:szCs w:val="22"/>
              </w:rPr>
            </w:pPr>
            <w:r w:rsidRPr="00C4462E">
              <w:rPr>
                <w:sz w:val="22"/>
                <w:szCs w:val="22"/>
              </w:rPr>
              <w:t>SODC</w:t>
            </w:r>
          </w:p>
        </w:tc>
      </w:tr>
      <w:tr w:rsidR="00C4462E" w:rsidRPr="00C4462E" w14:paraId="1F2151C5" w14:textId="77777777" w:rsidTr="00AF2462">
        <w:tc>
          <w:tcPr>
            <w:tcW w:w="4451" w:type="dxa"/>
          </w:tcPr>
          <w:p w14:paraId="57E49595" w14:textId="712E66BA" w:rsidR="00AF2462" w:rsidRPr="00C4462E" w:rsidRDefault="00AF2462" w:rsidP="00AF2462">
            <w:pPr>
              <w:pStyle w:val="ListParagraph"/>
              <w:ind w:left="0"/>
              <w:jc w:val="both"/>
              <w:rPr>
                <w:sz w:val="22"/>
                <w:szCs w:val="22"/>
              </w:rPr>
            </w:pPr>
            <w:r w:rsidRPr="00C4462E">
              <w:rPr>
                <w:sz w:val="22"/>
                <w:szCs w:val="22"/>
              </w:rPr>
              <w:t>Northfield STRAT12</w:t>
            </w:r>
          </w:p>
        </w:tc>
        <w:tc>
          <w:tcPr>
            <w:tcW w:w="4431" w:type="dxa"/>
          </w:tcPr>
          <w:p w14:paraId="774B4EF7" w14:textId="2922F51A" w:rsidR="00AF2462" w:rsidRPr="00C4462E" w:rsidRDefault="00AF2462" w:rsidP="00AF2462">
            <w:pPr>
              <w:pStyle w:val="ListParagraph"/>
              <w:ind w:left="0"/>
              <w:jc w:val="both"/>
              <w:rPr>
                <w:sz w:val="22"/>
                <w:szCs w:val="22"/>
              </w:rPr>
            </w:pPr>
            <w:r w:rsidRPr="00C4462E">
              <w:rPr>
                <w:sz w:val="22"/>
                <w:szCs w:val="22"/>
              </w:rPr>
              <w:t>SODC</w:t>
            </w:r>
          </w:p>
        </w:tc>
      </w:tr>
      <w:tr w:rsidR="00C4462E" w:rsidRPr="00C4462E" w14:paraId="492262F3" w14:textId="77777777" w:rsidTr="00AF2462">
        <w:tc>
          <w:tcPr>
            <w:tcW w:w="4451" w:type="dxa"/>
          </w:tcPr>
          <w:p w14:paraId="5C4AA5BE" w14:textId="765C04F7" w:rsidR="00AF2462" w:rsidRPr="00C4462E" w:rsidRDefault="00AF2462" w:rsidP="00AF2462">
            <w:pPr>
              <w:pStyle w:val="ListParagraph"/>
              <w:ind w:left="0"/>
              <w:jc w:val="both"/>
              <w:rPr>
                <w:sz w:val="22"/>
                <w:szCs w:val="22"/>
              </w:rPr>
            </w:pPr>
            <w:r w:rsidRPr="00C4462E">
              <w:rPr>
                <w:sz w:val="22"/>
                <w:szCs w:val="22"/>
              </w:rPr>
              <w:t>North of Bayswater Brook STRAT13</w:t>
            </w:r>
          </w:p>
        </w:tc>
        <w:tc>
          <w:tcPr>
            <w:tcW w:w="4431" w:type="dxa"/>
          </w:tcPr>
          <w:p w14:paraId="36C54630" w14:textId="7B1470D5" w:rsidR="00AF2462" w:rsidRPr="00C4462E" w:rsidRDefault="00AF2462" w:rsidP="00AF2462">
            <w:pPr>
              <w:pStyle w:val="ListParagraph"/>
              <w:ind w:left="0"/>
              <w:jc w:val="both"/>
              <w:rPr>
                <w:sz w:val="22"/>
                <w:szCs w:val="22"/>
              </w:rPr>
            </w:pPr>
            <w:r w:rsidRPr="00C4462E">
              <w:rPr>
                <w:sz w:val="22"/>
                <w:szCs w:val="22"/>
              </w:rPr>
              <w:t>SODC</w:t>
            </w:r>
          </w:p>
        </w:tc>
      </w:tr>
      <w:tr w:rsidR="00C4462E" w:rsidRPr="00C4462E" w14:paraId="2548B590" w14:textId="77777777" w:rsidTr="00AF2462">
        <w:tc>
          <w:tcPr>
            <w:tcW w:w="4451" w:type="dxa"/>
          </w:tcPr>
          <w:p w14:paraId="473AD101" w14:textId="796F2B3A" w:rsidR="00AF2462" w:rsidRPr="00C4462E" w:rsidRDefault="00AF2462" w:rsidP="00AF2462">
            <w:pPr>
              <w:pStyle w:val="ListParagraph"/>
              <w:ind w:left="0"/>
              <w:jc w:val="both"/>
              <w:rPr>
                <w:sz w:val="22"/>
                <w:szCs w:val="22"/>
              </w:rPr>
            </w:pPr>
            <w:r w:rsidRPr="00C4462E">
              <w:rPr>
                <w:sz w:val="22"/>
                <w:szCs w:val="22"/>
              </w:rPr>
              <w:t>PR6a Water Eaton</w:t>
            </w:r>
          </w:p>
        </w:tc>
        <w:tc>
          <w:tcPr>
            <w:tcW w:w="4431" w:type="dxa"/>
          </w:tcPr>
          <w:p w14:paraId="3670ED34" w14:textId="5B47B044" w:rsidR="00AF2462" w:rsidRPr="00C4462E" w:rsidRDefault="00AF2462" w:rsidP="00AF2462">
            <w:pPr>
              <w:pStyle w:val="ListParagraph"/>
              <w:ind w:left="0"/>
              <w:jc w:val="both"/>
              <w:rPr>
                <w:sz w:val="22"/>
                <w:szCs w:val="22"/>
              </w:rPr>
            </w:pPr>
            <w:r w:rsidRPr="00C4462E">
              <w:rPr>
                <w:sz w:val="22"/>
                <w:szCs w:val="22"/>
              </w:rPr>
              <w:t>CDC</w:t>
            </w:r>
          </w:p>
        </w:tc>
      </w:tr>
      <w:tr w:rsidR="00C4462E" w:rsidRPr="00C4462E" w14:paraId="2275E227" w14:textId="77777777" w:rsidTr="00AF2462">
        <w:tc>
          <w:tcPr>
            <w:tcW w:w="4451" w:type="dxa"/>
          </w:tcPr>
          <w:p w14:paraId="716A2EB3" w14:textId="784F2C21" w:rsidR="00AF2462" w:rsidRPr="00C4462E" w:rsidRDefault="00AF2462" w:rsidP="00AF2462">
            <w:pPr>
              <w:pStyle w:val="ListParagraph"/>
              <w:ind w:left="0"/>
              <w:jc w:val="both"/>
              <w:rPr>
                <w:sz w:val="22"/>
                <w:szCs w:val="22"/>
              </w:rPr>
            </w:pPr>
            <w:r w:rsidRPr="00C4462E">
              <w:rPr>
                <w:sz w:val="22"/>
                <w:szCs w:val="22"/>
              </w:rPr>
              <w:t>PR6b Golf Course</w:t>
            </w:r>
          </w:p>
        </w:tc>
        <w:tc>
          <w:tcPr>
            <w:tcW w:w="4431" w:type="dxa"/>
          </w:tcPr>
          <w:p w14:paraId="118E7D9E" w14:textId="4A9C4579" w:rsidR="00AF2462" w:rsidRPr="00C4462E" w:rsidRDefault="00AF2462" w:rsidP="00AF2462">
            <w:pPr>
              <w:pStyle w:val="ListParagraph"/>
              <w:ind w:left="0"/>
              <w:jc w:val="both"/>
              <w:rPr>
                <w:sz w:val="22"/>
                <w:szCs w:val="22"/>
              </w:rPr>
            </w:pPr>
            <w:r w:rsidRPr="00C4462E">
              <w:rPr>
                <w:sz w:val="22"/>
                <w:szCs w:val="22"/>
              </w:rPr>
              <w:t>CDC</w:t>
            </w:r>
          </w:p>
        </w:tc>
      </w:tr>
      <w:tr w:rsidR="00C4462E" w:rsidRPr="00C4462E" w14:paraId="1866AEAD" w14:textId="77777777" w:rsidTr="00AF2462">
        <w:tc>
          <w:tcPr>
            <w:tcW w:w="4451" w:type="dxa"/>
          </w:tcPr>
          <w:p w14:paraId="1F71BE26" w14:textId="29016822" w:rsidR="00AF2462" w:rsidRPr="00C4462E" w:rsidRDefault="00AF2462" w:rsidP="00AF2462">
            <w:pPr>
              <w:pStyle w:val="ListParagraph"/>
              <w:ind w:left="0"/>
              <w:jc w:val="both"/>
              <w:rPr>
                <w:sz w:val="22"/>
                <w:szCs w:val="22"/>
              </w:rPr>
            </w:pPr>
            <w:r w:rsidRPr="00C4462E">
              <w:rPr>
                <w:sz w:val="22"/>
                <w:szCs w:val="22"/>
              </w:rPr>
              <w:t>PR7a Kidlington</w:t>
            </w:r>
          </w:p>
        </w:tc>
        <w:tc>
          <w:tcPr>
            <w:tcW w:w="4431" w:type="dxa"/>
          </w:tcPr>
          <w:p w14:paraId="69987252" w14:textId="68220826" w:rsidR="00AF2462" w:rsidRPr="00C4462E" w:rsidRDefault="00AF2462" w:rsidP="00AF2462">
            <w:pPr>
              <w:pStyle w:val="ListParagraph"/>
              <w:ind w:left="0"/>
              <w:jc w:val="both"/>
              <w:rPr>
                <w:sz w:val="22"/>
                <w:szCs w:val="22"/>
              </w:rPr>
            </w:pPr>
            <w:r w:rsidRPr="00C4462E">
              <w:rPr>
                <w:sz w:val="22"/>
                <w:szCs w:val="22"/>
              </w:rPr>
              <w:t>CDC</w:t>
            </w:r>
          </w:p>
        </w:tc>
      </w:tr>
      <w:tr w:rsidR="00C4462E" w:rsidRPr="00C4462E" w14:paraId="64FCF12A" w14:textId="77777777" w:rsidTr="00AF2462">
        <w:tc>
          <w:tcPr>
            <w:tcW w:w="4451" w:type="dxa"/>
          </w:tcPr>
          <w:p w14:paraId="3647D221" w14:textId="3FEEEBD9" w:rsidR="00AF2462" w:rsidRPr="00C4462E" w:rsidRDefault="00AF2462" w:rsidP="00AF2462">
            <w:pPr>
              <w:pStyle w:val="ListParagraph"/>
              <w:ind w:left="0"/>
              <w:jc w:val="both"/>
              <w:rPr>
                <w:sz w:val="22"/>
                <w:szCs w:val="22"/>
              </w:rPr>
            </w:pPr>
            <w:r w:rsidRPr="00C4462E">
              <w:rPr>
                <w:sz w:val="22"/>
                <w:szCs w:val="22"/>
              </w:rPr>
              <w:t>PR7b Kidlington</w:t>
            </w:r>
          </w:p>
        </w:tc>
        <w:tc>
          <w:tcPr>
            <w:tcW w:w="4431" w:type="dxa"/>
          </w:tcPr>
          <w:p w14:paraId="7C550710" w14:textId="7C9F87CC" w:rsidR="00AF2462" w:rsidRPr="00C4462E" w:rsidRDefault="00AF2462" w:rsidP="00AF2462">
            <w:pPr>
              <w:pStyle w:val="ListParagraph"/>
              <w:ind w:left="0"/>
              <w:jc w:val="both"/>
              <w:rPr>
                <w:sz w:val="22"/>
                <w:szCs w:val="22"/>
              </w:rPr>
            </w:pPr>
            <w:r w:rsidRPr="00C4462E">
              <w:rPr>
                <w:sz w:val="22"/>
                <w:szCs w:val="22"/>
              </w:rPr>
              <w:t>CDC</w:t>
            </w:r>
          </w:p>
        </w:tc>
      </w:tr>
      <w:tr w:rsidR="00C4462E" w:rsidRPr="00C4462E" w14:paraId="40F3E87A" w14:textId="77777777" w:rsidTr="00AF2462">
        <w:tc>
          <w:tcPr>
            <w:tcW w:w="4451" w:type="dxa"/>
          </w:tcPr>
          <w:p w14:paraId="3292E555" w14:textId="06F4E2AF" w:rsidR="00AF2462" w:rsidRPr="00C4462E" w:rsidRDefault="00AF2462" w:rsidP="00AF2462">
            <w:pPr>
              <w:pStyle w:val="ListParagraph"/>
              <w:ind w:left="0"/>
              <w:jc w:val="both"/>
              <w:rPr>
                <w:sz w:val="22"/>
                <w:szCs w:val="22"/>
              </w:rPr>
            </w:pPr>
            <w:r w:rsidRPr="00C4462E">
              <w:rPr>
                <w:sz w:val="22"/>
                <w:szCs w:val="22"/>
              </w:rPr>
              <w:t>PR8 Begbroke</w:t>
            </w:r>
          </w:p>
        </w:tc>
        <w:tc>
          <w:tcPr>
            <w:tcW w:w="4431" w:type="dxa"/>
          </w:tcPr>
          <w:p w14:paraId="4874B942" w14:textId="0F298FD4" w:rsidR="00AF2462" w:rsidRPr="00C4462E" w:rsidRDefault="00AF2462" w:rsidP="00AF2462">
            <w:pPr>
              <w:pStyle w:val="ListParagraph"/>
              <w:ind w:left="0"/>
              <w:jc w:val="both"/>
              <w:rPr>
                <w:sz w:val="22"/>
                <w:szCs w:val="22"/>
              </w:rPr>
            </w:pPr>
            <w:r w:rsidRPr="00C4462E">
              <w:rPr>
                <w:sz w:val="22"/>
                <w:szCs w:val="22"/>
              </w:rPr>
              <w:t>CDC</w:t>
            </w:r>
          </w:p>
        </w:tc>
      </w:tr>
      <w:tr w:rsidR="00C4462E" w:rsidRPr="00C4462E" w14:paraId="39732B68" w14:textId="77777777" w:rsidTr="00AF2462">
        <w:tc>
          <w:tcPr>
            <w:tcW w:w="4451" w:type="dxa"/>
          </w:tcPr>
          <w:p w14:paraId="57C405B3" w14:textId="4B979096" w:rsidR="00AF2462" w:rsidRPr="00C4462E" w:rsidRDefault="00AF2462" w:rsidP="00AF2462">
            <w:pPr>
              <w:pStyle w:val="ListParagraph"/>
              <w:ind w:left="0"/>
              <w:jc w:val="both"/>
              <w:rPr>
                <w:sz w:val="22"/>
                <w:szCs w:val="22"/>
              </w:rPr>
            </w:pPr>
            <w:r w:rsidRPr="00C4462E">
              <w:rPr>
                <w:sz w:val="22"/>
                <w:szCs w:val="22"/>
              </w:rPr>
              <w:t xml:space="preserve">PR9 </w:t>
            </w:r>
            <w:proofErr w:type="spellStart"/>
            <w:r w:rsidRPr="00C4462E">
              <w:rPr>
                <w:sz w:val="22"/>
                <w:szCs w:val="22"/>
              </w:rPr>
              <w:t>Yarnton</w:t>
            </w:r>
            <w:proofErr w:type="spellEnd"/>
          </w:p>
        </w:tc>
        <w:tc>
          <w:tcPr>
            <w:tcW w:w="4431" w:type="dxa"/>
          </w:tcPr>
          <w:p w14:paraId="161B8969" w14:textId="487F6F16" w:rsidR="00AF2462" w:rsidRPr="00C4462E" w:rsidRDefault="00AF2462" w:rsidP="00AF2462">
            <w:pPr>
              <w:pStyle w:val="ListParagraph"/>
              <w:ind w:left="0"/>
              <w:jc w:val="both"/>
              <w:rPr>
                <w:sz w:val="22"/>
                <w:szCs w:val="22"/>
              </w:rPr>
            </w:pPr>
            <w:r w:rsidRPr="00C4462E">
              <w:rPr>
                <w:sz w:val="22"/>
                <w:szCs w:val="22"/>
              </w:rPr>
              <w:t>CDC</w:t>
            </w:r>
          </w:p>
        </w:tc>
      </w:tr>
      <w:tr w:rsidR="009159BF" w:rsidRPr="00C4462E" w14:paraId="6091A1E1" w14:textId="77777777" w:rsidTr="00AF2462">
        <w:tc>
          <w:tcPr>
            <w:tcW w:w="4451" w:type="dxa"/>
          </w:tcPr>
          <w:p w14:paraId="625445B8" w14:textId="35D176C3" w:rsidR="009159BF" w:rsidRPr="00C4462E" w:rsidRDefault="009159BF" w:rsidP="00AF2462">
            <w:pPr>
              <w:pStyle w:val="ListParagraph"/>
              <w:ind w:left="0"/>
              <w:jc w:val="both"/>
              <w:rPr>
                <w:sz w:val="22"/>
                <w:szCs w:val="22"/>
              </w:rPr>
            </w:pPr>
            <w:bookmarkStart w:id="1" w:name="_Hlk129940310"/>
            <w:r>
              <w:rPr>
                <w:sz w:val="22"/>
                <w:szCs w:val="22"/>
              </w:rPr>
              <w:t xml:space="preserve">High value zone sites </w:t>
            </w:r>
          </w:p>
        </w:tc>
        <w:tc>
          <w:tcPr>
            <w:tcW w:w="4431" w:type="dxa"/>
          </w:tcPr>
          <w:p w14:paraId="56038852" w14:textId="6E0B86F9" w:rsidR="009159BF" w:rsidRPr="00C4462E" w:rsidRDefault="009159BF" w:rsidP="00AF2462">
            <w:pPr>
              <w:pStyle w:val="ListParagraph"/>
              <w:ind w:left="0"/>
              <w:jc w:val="both"/>
              <w:rPr>
                <w:sz w:val="22"/>
                <w:szCs w:val="22"/>
              </w:rPr>
            </w:pPr>
            <w:r>
              <w:rPr>
                <w:sz w:val="22"/>
                <w:szCs w:val="22"/>
              </w:rPr>
              <w:t>WODC</w:t>
            </w:r>
          </w:p>
        </w:tc>
      </w:tr>
    </w:tbl>
    <w:bookmarkEnd w:id="1"/>
    <w:p w14:paraId="132ACFB8" w14:textId="419C436B" w:rsidR="00D85ADE" w:rsidRPr="000033F5" w:rsidRDefault="00615513" w:rsidP="000033F5">
      <w:pPr>
        <w:pStyle w:val="ListParagraph"/>
        <w:ind w:left="360"/>
        <w:jc w:val="both"/>
        <w:rPr>
          <w:sz w:val="22"/>
          <w:szCs w:val="22"/>
        </w:rPr>
      </w:pPr>
      <w:r w:rsidRPr="00C4462E">
        <w:rPr>
          <w:sz w:val="22"/>
          <w:szCs w:val="22"/>
        </w:rPr>
        <w:t xml:space="preserve">  </w:t>
      </w:r>
    </w:p>
    <w:p w14:paraId="2B131423" w14:textId="6746FF21" w:rsidR="00B45198" w:rsidRPr="00C4462E" w:rsidRDefault="009937E0" w:rsidP="00F07B51">
      <w:pPr>
        <w:pStyle w:val="ListParagraph"/>
        <w:numPr>
          <w:ilvl w:val="0"/>
          <w:numId w:val="32"/>
        </w:numPr>
        <w:jc w:val="both"/>
        <w:rPr>
          <w:sz w:val="22"/>
          <w:szCs w:val="22"/>
        </w:rPr>
      </w:pPr>
      <w:r w:rsidRPr="00C4462E">
        <w:rPr>
          <w:sz w:val="22"/>
          <w:szCs w:val="22"/>
        </w:rPr>
        <w:t xml:space="preserve">The government is proposing changes to the </w:t>
      </w:r>
      <w:r w:rsidR="00F07B51" w:rsidRPr="00C4462E">
        <w:rPr>
          <w:sz w:val="22"/>
          <w:szCs w:val="22"/>
        </w:rPr>
        <w:t>National Planning Policy Framework.  The County Council has responded to the consultation, which closed on 2</w:t>
      </w:r>
      <w:r w:rsidR="00E27EC4" w:rsidRPr="00C4462E">
        <w:rPr>
          <w:sz w:val="22"/>
          <w:szCs w:val="22"/>
          <w:vertAlign w:val="superscript"/>
        </w:rPr>
        <w:t>nd</w:t>
      </w:r>
      <w:r w:rsidR="00E27EC4" w:rsidRPr="00C4462E">
        <w:rPr>
          <w:sz w:val="22"/>
          <w:szCs w:val="22"/>
        </w:rPr>
        <w:t xml:space="preserve"> </w:t>
      </w:r>
      <w:r w:rsidR="00F07B51" w:rsidRPr="00C4462E">
        <w:rPr>
          <w:sz w:val="22"/>
          <w:szCs w:val="22"/>
        </w:rPr>
        <w:t>March 2023</w:t>
      </w:r>
      <w:r w:rsidR="003A67E0" w:rsidRPr="00C4462E">
        <w:rPr>
          <w:sz w:val="22"/>
          <w:szCs w:val="22"/>
        </w:rPr>
        <w:t>,</w:t>
      </w:r>
      <w:r w:rsidR="00B66435" w:rsidRPr="00C4462E">
        <w:rPr>
          <w:sz w:val="22"/>
          <w:szCs w:val="22"/>
        </w:rPr>
        <w:t xml:space="preserve"> and we </w:t>
      </w:r>
      <w:r w:rsidR="003A67E0" w:rsidRPr="00C4462E">
        <w:rPr>
          <w:sz w:val="22"/>
          <w:szCs w:val="22"/>
        </w:rPr>
        <w:t>w</w:t>
      </w:r>
      <w:r w:rsidR="005F260C" w:rsidRPr="00C4462E">
        <w:rPr>
          <w:sz w:val="22"/>
          <w:szCs w:val="22"/>
        </w:rPr>
        <w:t>ill provide the City Council with</w:t>
      </w:r>
      <w:r w:rsidR="00B66435" w:rsidRPr="00C4462E">
        <w:rPr>
          <w:sz w:val="22"/>
          <w:szCs w:val="22"/>
        </w:rPr>
        <w:t xml:space="preserve"> a copy of our response</w:t>
      </w:r>
      <w:r w:rsidR="00F07B51" w:rsidRPr="00C4462E">
        <w:rPr>
          <w:sz w:val="22"/>
          <w:szCs w:val="22"/>
        </w:rPr>
        <w:t xml:space="preserve">.  </w:t>
      </w:r>
      <w:r w:rsidR="00B66435" w:rsidRPr="00C4462E">
        <w:rPr>
          <w:sz w:val="22"/>
          <w:szCs w:val="22"/>
        </w:rPr>
        <w:t>The government’s consultation is relevant as it addresses some of the same issues as this</w:t>
      </w:r>
      <w:r w:rsidR="005F260C" w:rsidRPr="00C4462E">
        <w:rPr>
          <w:sz w:val="22"/>
          <w:szCs w:val="22"/>
        </w:rPr>
        <w:t xml:space="preserve"> housing need</w:t>
      </w:r>
      <w:r w:rsidR="00B66435" w:rsidRPr="00C4462E">
        <w:rPr>
          <w:sz w:val="22"/>
          <w:szCs w:val="22"/>
        </w:rPr>
        <w:t xml:space="preserve"> consultation, for example the government proposes to make changes ‘designed to support local authorities to set local housing requirements that respond to demographic and affordability pressures while being realistic given local constraints’</w:t>
      </w:r>
      <w:r w:rsidR="00E03A49" w:rsidRPr="00C4462E">
        <w:rPr>
          <w:sz w:val="22"/>
          <w:szCs w:val="22"/>
        </w:rPr>
        <w:t xml:space="preserve">.  The government’s </w:t>
      </w:r>
      <w:r w:rsidR="003A67E0" w:rsidRPr="00C4462E">
        <w:rPr>
          <w:sz w:val="22"/>
          <w:szCs w:val="22"/>
        </w:rPr>
        <w:t xml:space="preserve">consultation goes on to say that they </w:t>
      </w:r>
      <w:r w:rsidR="005F260C" w:rsidRPr="00C4462E">
        <w:rPr>
          <w:sz w:val="22"/>
          <w:szCs w:val="22"/>
        </w:rPr>
        <w:t>‘</w:t>
      </w:r>
      <w:r w:rsidR="003A67E0" w:rsidRPr="00C4462E">
        <w:rPr>
          <w:sz w:val="22"/>
          <w:szCs w:val="22"/>
        </w:rPr>
        <w:t xml:space="preserve">propose to give more explicit indications in planning guidance of the types of local characteristics which may justify the use of an alternative method, such as … university towns with an above-average proportion of students’ which would appear to apply to Oxford. </w:t>
      </w:r>
      <w:r w:rsidR="005F260C" w:rsidRPr="00C4462E">
        <w:rPr>
          <w:sz w:val="22"/>
          <w:szCs w:val="22"/>
        </w:rPr>
        <w:t xml:space="preserve">The County Council’s response generally supports the changes on plan-making and housing supply but notes </w:t>
      </w:r>
      <w:r w:rsidR="005F260C" w:rsidRPr="00C4462E">
        <w:rPr>
          <w:sz w:val="22"/>
          <w:szCs w:val="22"/>
        </w:rPr>
        <w:lastRenderedPageBreak/>
        <w:t xml:space="preserve">the critical role of strategic planning on macro issues such as climate change, infrastructure provision and the environment </w:t>
      </w:r>
      <w:r w:rsidR="00E27EC4" w:rsidRPr="00C4462E">
        <w:rPr>
          <w:sz w:val="22"/>
          <w:szCs w:val="22"/>
        </w:rPr>
        <w:t xml:space="preserve">which </w:t>
      </w:r>
      <w:r w:rsidR="005F260C" w:rsidRPr="00C4462E">
        <w:rPr>
          <w:sz w:val="22"/>
          <w:szCs w:val="22"/>
        </w:rPr>
        <w:t>often need to be considered across large geographical areas.</w:t>
      </w:r>
    </w:p>
    <w:p w14:paraId="6D6B392C" w14:textId="77777777" w:rsidR="00F07B51" w:rsidRPr="00C4462E" w:rsidRDefault="00F07B51" w:rsidP="00F07B51">
      <w:pPr>
        <w:pStyle w:val="ListParagraph"/>
        <w:rPr>
          <w:sz w:val="22"/>
          <w:szCs w:val="22"/>
        </w:rPr>
      </w:pPr>
    </w:p>
    <w:p w14:paraId="3CD25DF4" w14:textId="1E97CF34" w:rsidR="00F07B51" w:rsidRPr="00C4462E" w:rsidRDefault="00F01400" w:rsidP="00F07B51">
      <w:pPr>
        <w:pStyle w:val="ListParagraph"/>
        <w:numPr>
          <w:ilvl w:val="0"/>
          <w:numId w:val="32"/>
        </w:numPr>
        <w:jc w:val="both"/>
        <w:rPr>
          <w:sz w:val="22"/>
          <w:szCs w:val="22"/>
        </w:rPr>
      </w:pPr>
      <w:r>
        <w:rPr>
          <w:sz w:val="22"/>
          <w:szCs w:val="22"/>
        </w:rPr>
        <w:t>We would like to see</w:t>
      </w:r>
      <w:r w:rsidR="00F07B51" w:rsidRPr="00C4462E">
        <w:rPr>
          <w:sz w:val="22"/>
          <w:szCs w:val="22"/>
        </w:rPr>
        <w:t xml:space="preserve"> more focus within Oxford City on making best use of land opportunities, which means (as stated in our last consultation response) giving priority to housing on development sites and ensuring that land is used efficiently, for example through higher densities than has historically been the case. </w:t>
      </w:r>
      <w:r w:rsidR="00932027" w:rsidRPr="00C4462E">
        <w:rPr>
          <w:sz w:val="22"/>
          <w:szCs w:val="22"/>
        </w:rPr>
        <w:t xml:space="preserve">Where there is an agreed unmet need for Oxford City, we would like to see whether that need can be addressed on already allocated sites close to the city in the first instance.   </w:t>
      </w:r>
      <w:r w:rsidRPr="00C4462E">
        <w:rPr>
          <w:sz w:val="22"/>
          <w:szCs w:val="22"/>
        </w:rPr>
        <w:t xml:space="preserve">We </w:t>
      </w:r>
      <w:r>
        <w:rPr>
          <w:sz w:val="22"/>
          <w:szCs w:val="22"/>
        </w:rPr>
        <w:t>are concerned if</w:t>
      </w:r>
      <w:r w:rsidRPr="00C4462E">
        <w:rPr>
          <w:sz w:val="22"/>
          <w:szCs w:val="22"/>
        </w:rPr>
        <w:t xml:space="preserve"> figure</w:t>
      </w:r>
      <w:r>
        <w:rPr>
          <w:sz w:val="22"/>
          <w:szCs w:val="22"/>
        </w:rPr>
        <w:t>s</w:t>
      </w:r>
      <w:r w:rsidRPr="00C4462E">
        <w:rPr>
          <w:sz w:val="22"/>
          <w:szCs w:val="22"/>
        </w:rPr>
        <w:t xml:space="preserve"> </w:t>
      </w:r>
      <w:r>
        <w:rPr>
          <w:sz w:val="22"/>
          <w:szCs w:val="22"/>
        </w:rPr>
        <w:t xml:space="preserve">are generated identifying an </w:t>
      </w:r>
      <w:r w:rsidRPr="00C4462E">
        <w:rPr>
          <w:sz w:val="22"/>
          <w:szCs w:val="22"/>
        </w:rPr>
        <w:t>unmet need f</w:t>
      </w:r>
      <w:r>
        <w:rPr>
          <w:sz w:val="22"/>
          <w:szCs w:val="22"/>
        </w:rPr>
        <w:t>or</w:t>
      </w:r>
      <w:r w:rsidRPr="00C4462E">
        <w:rPr>
          <w:sz w:val="22"/>
          <w:szCs w:val="22"/>
        </w:rPr>
        <w:t xml:space="preserve"> Oxford City and that</w:t>
      </w:r>
      <w:r>
        <w:rPr>
          <w:sz w:val="22"/>
          <w:szCs w:val="22"/>
        </w:rPr>
        <w:t xml:space="preserve"> is added to the District</w:t>
      </w:r>
      <w:r w:rsidR="004554AF">
        <w:rPr>
          <w:sz w:val="22"/>
          <w:szCs w:val="22"/>
        </w:rPr>
        <w:t xml:space="preserve"> Councils</w:t>
      </w:r>
      <w:r>
        <w:rPr>
          <w:sz w:val="22"/>
          <w:szCs w:val="22"/>
        </w:rPr>
        <w:t>’ housing requirements</w:t>
      </w:r>
      <w:r w:rsidRPr="00C4462E">
        <w:rPr>
          <w:sz w:val="22"/>
          <w:szCs w:val="22"/>
        </w:rPr>
        <w:t xml:space="preserve"> without identifying which sites are addressing that unmet need</w:t>
      </w:r>
      <w:r w:rsidR="00B43C3B">
        <w:rPr>
          <w:sz w:val="22"/>
          <w:szCs w:val="22"/>
        </w:rPr>
        <w:t xml:space="preserve"> and how the relevant proportion of affordable housing will be identified</w:t>
      </w:r>
      <w:r w:rsidRPr="00C4462E">
        <w:rPr>
          <w:sz w:val="22"/>
          <w:szCs w:val="22"/>
        </w:rPr>
        <w:t xml:space="preserve">. </w:t>
      </w:r>
      <w:r w:rsidR="00F07B51" w:rsidRPr="00C4462E">
        <w:rPr>
          <w:sz w:val="22"/>
          <w:szCs w:val="22"/>
        </w:rPr>
        <w:t xml:space="preserve"> </w:t>
      </w:r>
    </w:p>
    <w:p w14:paraId="387EF987" w14:textId="77777777" w:rsidR="00BA12DB" w:rsidRPr="00C4462E" w:rsidRDefault="00BA12DB" w:rsidP="00BA12DB">
      <w:pPr>
        <w:pStyle w:val="ListParagraph"/>
        <w:rPr>
          <w:sz w:val="22"/>
          <w:szCs w:val="22"/>
        </w:rPr>
      </w:pPr>
    </w:p>
    <w:p w14:paraId="191AE990" w14:textId="495F835E" w:rsidR="00BA12DB" w:rsidRPr="00C4462E" w:rsidRDefault="00BA12DB" w:rsidP="00F07B51">
      <w:pPr>
        <w:pStyle w:val="ListParagraph"/>
        <w:numPr>
          <w:ilvl w:val="0"/>
          <w:numId w:val="32"/>
        </w:numPr>
        <w:jc w:val="both"/>
        <w:rPr>
          <w:sz w:val="22"/>
          <w:szCs w:val="22"/>
        </w:rPr>
      </w:pPr>
      <w:r w:rsidRPr="00C4462E">
        <w:rPr>
          <w:sz w:val="22"/>
          <w:szCs w:val="22"/>
        </w:rPr>
        <w:t xml:space="preserve">Oxfordshire County Council’s particular interests are in seeking enough housing to meet specialist needs, in accordance with our social care functions; and influencing the location of development to make the most of existing infrastructure and minimise the cost of new infrastructure. </w:t>
      </w:r>
      <w:r w:rsidR="005F260C" w:rsidRPr="00C4462E">
        <w:rPr>
          <w:sz w:val="22"/>
          <w:szCs w:val="22"/>
        </w:rPr>
        <w:t>We also have a strategic interest</w:t>
      </w:r>
      <w:r w:rsidR="007F409C">
        <w:rPr>
          <w:sz w:val="22"/>
          <w:szCs w:val="22"/>
        </w:rPr>
        <w:t>, for example</w:t>
      </w:r>
      <w:r w:rsidR="005F260C" w:rsidRPr="00C4462E">
        <w:rPr>
          <w:sz w:val="22"/>
          <w:szCs w:val="22"/>
        </w:rPr>
        <w:t xml:space="preserve"> in respect of climate change, flood resilience, and the natural environment.</w:t>
      </w:r>
      <w:r w:rsidR="00B42320" w:rsidRPr="00C4462E">
        <w:rPr>
          <w:sz w:val="22"/>
          <w:szCs w:val="22"/>
        </w:rPr>
        <w:t xml:space="preserve"> </w:t>
      </w:r>
      <w:r w:rsidR="0028242B" w:rsidRPr="00C4462E">
        <w:rPr>
          <w:sz w:val="22"/>
          <w:szCs w:val="22"/>
        </w:rPr>
        <w:t xml:space="preserve">Our recent </w:t>
      </w:r>
      <w:r w:rsidR="002F06C9" w:rsidRPr="00C4462E">
        <w:rPr>
          <w:sz w:val="22"/>
          <w:szCs w:val="22"/>
        </w:rPr>
        <w:t xml:space="preserve">publications, such as the Local Transport and Connectivity Plan, and Oxfordshire’s Environmental Principles, indicate that it is important to holistically consider housing need </w:t>
      </w:r>
      <w:proofErr w:type="gramStart"/>
      <w:r w:rsidR="002F06C9" w:rsidRPr="00C4462E">
        <w:rPr>
          <w:sz w:val="22"/>
          <w:szCs w:val="22"/>
        </w:rPr>
        <w:t>in order to</w:t>
      </w:r>
      <w:proofErr w:type="gramEnd"/>
      <w:r w:rsidR="002F06C9" w:rsidRPr="00C4462E">
        <w:rPr>
          <w:sz w:val="22"/>
          <w:szCs w:val="22"/>
        </w:rPr>
        <w:t xml:space="preserve"> work towards a greener, fairer and healthier county.   </w:t>
      </w:r>
      <w:r w:rsidR="00B42320" w:rsidRPr="00C4462E">
        <w:rPr>
          <w:sz w:val="22"/>
          <w:szCs w:val="22"/>
        </w:rPr>
        <w:t xml:space="preserve">The County Council will therefore seek ongoing discussion </w:t>
      </w:r>
      <w:r w:rsidR="0034049D" w:rsidRPr="00C4462E">
        <w:rPr>
          <w:sz w:val="22"/>
          <w:szCs w:val="22"/>
        </w:rPr>
        <w:t>and continue to be involved in the progress of the local plans on these matters.</w:t>
      </w:r>
    </w:p>
    <w:p w14:paraId="691BDC54" w14:textId="5BCAC0E7" w:rsidR="002F06C9" w:rsidRDefault="002F06C9" w:rsidP="005F260C">
      <w:pPr>
        <w:jc w:val="both"/>
        <w:rPr>
          <w:b/>
          <w:bCs/>
          <w:sz w:val="22"/>
          <w:szCs w:val="22"/>
        </w:rPr>
      </w:pPr>
    </w:p>
    <w:p w14:paraId="0C57532F" w14:textId="77777777" w:rsidR="00DB1B5B" w:rsidRPr="00C4462E" w:rsidRDefault="00DB1B5B" w:rsidP="005F260C">
      <w:pPr>
        <w:jc w:val="both"/>
        <w:rPr>
          <w:b/>
          <w:bCs/>
          <w:sz w:val="22"/>
          <w:szCs w:val="22"/>
        </w:rPr>
      </w:pPr>
    </w:p>
    <w:p w14:paraId="2F3741CD" w14:textId="5E032CE9" w:rsidR="005F260C" w:rsidRPr="00C4462E" w:rsidRDefault="005F260C" w:rsidP="005F260C">
      <w:pPr>
        <w:jc w:val="both"/>
        <w:rPr>
          <w:b/>
          <w:bCs/>
          <w:sz w:val="22"/>
          <w:szCs w:val="22"/>
        </w:rPr>
      </w:pPr>
      <w:r w:rsidRPr="00C4462E">
        <w:rPr>
          <w:b/>
          <w:bCs/>
          <w:sz w:val="22"/>
          <w:szCs w:val="22"/>
        </w:rPr>
        <w:t>Summary</w:t>
      </w:r>
    </w:p>
    <w:p w14:paraId="08A402D8" w14:textId="6528EBBD" w:rsidR="005F260C" w:rsidRPr="00C4462E" w:rsidRDefault="005F260C" w:rsidP="005F260C">
      <w:pPr>
        <w:pStyle w:val="ListParagraph"/>
        <w:rPr>
          <w:sz w:val="22"/>
          <w:szCs w:val="22"/>
        </w:rPr>
      </w:pPr>
    </w:p>
    <w:p w14:paraId="7855F1B6" w14:textId="0CBA3659" w:rsidR="00932027" w:rsidRPr="00C4462E" w:rsidRDefault="00932027" w:rsidP="00932027">
      <w:pPr>
        <w:autoSpaceDE w:val="0"/>
        <w:autoSpaceDN w:val="0"/>
        <w:adjustRightInd w:val="0"/>
        <w:jc w:val="both"/>
        <w:rPr>
          <w:sz w:val="22"/>
          <w:szCs w:val="22"/>
        </w:rPr>
      </w:pPr>
      <w:r w:rsidRPr="00C4462E">
        <w:rPr>
          <w:b/>
          <w:bCs/>
          <w:sz w:val="22"/>
          <w:szCs w:val="22"/>
        </w:rPr>
        <w:t>Q1</w:t>
      </w:r>
      <w:r w:rsidRPr="00C4462E">
        <w:rPr>
          <w:sz w:val="22"/>
          <w:szCs w:val="22"/>
        </w:rPr>
        <w:t xml:space="preserve">-Are there other ways of identifying housing need that should have been considered? </w:t>
      </w:r>
    </w:p>
    <w:p w14:paraId="7D495421" w14:textId="5EC3A628" w:rsidR="00932027" w:rsidRPr="00C4462E" w:rsidRDefault="00932027" w:rsidP="00932027">
      <w:pPr>
        <w:autoSpaceDE w:val="0"/>
        <w:autoSpaceDN w:val="0"/>
        <w:adjustRightInd w:val="0"/>
        <w:jc w:val="both"/>
        <w:rPr>
          <w:sz w:val="22"/>
          <w:szCs w:val="22"/>
        </w:rPr>
      </w:pPr>
      <w:r w:rsidRPr="00C4462E">
        <w:rPr>
          <w:b/>
          <w:bCs/>
          <w:sz w:val="22"/>
          <w:szCs w:val="22"/>
        </w:rPr>
        <w:t>Q2</w:t>
      </w:r>
      <w:r w:rsidRPr="00C4462E">
        <w:rPr>
          <w:sz w:val="22"/>
          <w:szCs w:val="22"/>
        </w:rPr>
        <w:t xml:space="preserve">-Do you have any comments on the methodologies used in the HENA? </w:t>
      </w:r>
    </w:p>
    <w:p w14:paraId="6AFA48DC" w14:textId="77777777" w:rsidR="00932027" w:rsidRPr="00C4462E" w:rsidRDefault="00932027" w:rsidP="00932027">
      <w:pPr>
        <w:jc w:val="both"/>
        <w:rPr>
          <w:sz w:val="22"/>
          <w:szCs w:val="22"/>
        </w:rPr>
      </w:pPr>
      <w:r w:rsidRPr="00C4462E">
        <w:rPr>
          <w:b/>
          <w:bCs/>
          <w:sz w:val="22"/>
          <w:szCs w:val="22"/>
        </w:rPr>
        <w:t>Q3</w:t>
      </w:r>
      <w:r w:rsidRPr="00C4462E">
        <w:rPr>
          <w:sz w:val="22"/>
          <w:szCs w:val="22"/>
        </w:rPr>
        <w:t>-Do you have any other comments on the Scenarios?</w:t>
      </w:r>
    </w:p>
    <w:p w14:paraId="7BF1BFAE" w14:textId="77777777" w:rsidR="00932027" w:rsidRPr="00C4462E" w:rsidRDefault="00932027" w:rsidP="00932027">
      <w:pPr>
        <w:jc w:val="both"/>
        <w:rPr>
          <w:sz w:val="22"/>
          <w:szCs w:val="22"/>
        </w:rPr>
      </w:pPr>
      <w:r w:rsidRPr="00C4462E">
        <w:rPr>
          <w:b/>
          <w:bCs/>
          <w:sz w:val="22"/>
          <w:szCs w:val="22"/>
        </w:rPr>
        <w:t>Q4</w:t>
      </w:r>
      <w:r w:rsidRPr="00C4462E">
        <w:rPr>
          <w:sz w:val="22"/>
          <w:szCs w:val="22"/>
        </w:rPr>
        <w:t xml:space="preserve">-Do you have any comments about the reasoning for selecting the most appropriate scenario of housing need? </w:t>
      </w:r>
    </w:p>
    <w:p w14:paraId="42DB8E60" w14:textId="29A2BDAC" w:rsidR="00932027" w:rsidRPr="00C4462E" w:rsidRDefault="00932027" w:rsidP="00932027">
      <w:pPr>
        <w:jc w:val="both"/>
        <w:rPr>
          <w:sz w:val="22"/>
          <w:szCs w:val="22"/>
        </w:rPr>
      </w:pPr>
    </w:p>
    <w:p w14:paraId="63534760" w14:textId="5393D3D6" w:rsidR="00932027" w:rsidRPr="00C4462E" w:rsidRDefault="00760B00" w:rsidP="00614A79">
      <w:pPr>
        <w:pStyle w:val="ListParagraph"/>
        <w:numPr>
          <w:ilvl w:val="0"/>
          <w:numId w:val="32"/>
        </w:numPr>
        <w:jc w:val="both"/>
        <w:rPr>
          <w:sz w:val="22"/>
          <w:szCs w:val="22"/>
        </w:rPr>
      </w:pPr>
      <w:r>
        <w:rPr>
          <w:sz w:val="22"/>
          <w:szCs w:val="22"/>
        </w:rPr>
        <w:t>G</w:t>
      </w:r>
      <w:r w:rsidR="00230FFB" w:rsidRPr="00C4462E">
        <w:rPr>
          <w:sz w:val="22"/>
          <w:szCs w:val="22"/>
        </w:rPr>
        <w:t>overnment guidance suggests</w:t>
      </w:r>
      <w:r w:rsidR="0028242B" w:rsidRPr="00C4462E">
        <w:rPr>
          <w:sz w:val="22"/>
          <w:szCs w:val="22"/>
        </w:rPr>
        <w:t xml:space="preserve"> using</w:t>
      </w:r>
      <w:r w:rsidR="00230FFB" w:rsidRPr="00C4462E">
        <w:rPr>
          <w:sz w:val="22"/>
          <w:szCs w:val="22"/>
        </w:rPr>
        <w:t xml:space="preserve"> the Standard Method unless there are exceptional circumstances</w:t>
      </w:r>
      <w:r w:rsidR="00F01400">
        <w:rPr>
          <w:sz w:val="22"/>
          <w:szCs w:val="22"/>
        </w:rPr>
        <w:t>.  The</w:t>
      </w:r>
      <w:r w:rsidR="00230FFB" w:rsidRPr="00C4462E">
        <w:rPr>
          <w:sz w:val="22"/>
          <w:szCs w:val="22"/>
        </w:rPr>
        <w:t xml:space="preserve"> Standard Method produces the lowest figures of any of the scenarios identified.  </w:t>
      </w:r>
      <w:r w:rsidR="00614A79" w:rsidRPr="00C4462E">
        <w:rPr>
          <w:sz w:val="22"/>
          <w:szCs w:val="22"/>
        </w:rPr>
        <w:t>We seek ongoing discussion with the City and Districts on these matters.</w:t>
      </w:r>
    </w:p>
    <w:p w14:paraId="2AC65AEF" w14:textId="77777777" w:rsidR="00230FFB" w:rsidRPr="00C4462E" w:rsidRDefault="00230FFB" w:rsidP="00932027">
      <w:pPr>
        <w:jc w:val="both"/>
        <w:rPr>
          <w:sz w:val="22"/>
          <w:szCs w:val="22"/>
        </w:rPr>
      </w:pPr>
    </w:p>
    <w:p w14:paraId="49F7419E" w14:textId="77777777" w:rsidR="00932027" w:rsidRPr="00C4462E" w:rsidRDefault="00932027" w:rsidP="00932027">
      <w:pPr>
        <w:jc w:val="both"/>
        <w:rPr>
          <w:sz w:val="22"/>
          <w:szCs w:val="22"/>
        </w:rPr>
      </w:pPr>
      <w:r w:rsidRPr="00C4462E">
        <w:rPr>
          <w:b/>
          <w:bCs/>
          <w:sz w:val="22"/>
          <w:szCs w:val="22"/>
        </w:rPr>
        <w:t>Q5</w:t>
      </w:r>
      <w:r w:rsidRPr="00C4462E">
        <w:rPr>
          <w:sz w:val="22"/>
          <w:szCs w:val="22"/>
        </w:rPr>
        <w:t>-Do you have any comments about the methods for dividing the Oxfordshire housing need between the districts, leading to the need figure of 1,322 for Oxford?</w:t>
      </w:r>
    </w:p>
    <w:p w14:paraId="295DB104" w14:textId="0A5CBF06" w:rsidR="00932027" w:rsidRPr="00C4462E" w:rsidRDefault="00932027" w:rsidP="00932027">
      <w:pPr>
        <w:jc w:val="both"/>
        <w:rPr>
          <w:sz w:val="22"/>
          <w:szCs w:val="22"/>
        </w:rPr>
      </w:pPr>
    </w:p>
    <w:p w14:paraId="53E5F0B3" w14:textId="2BDC91BC" w:rsidR="00F15E1A" w:rsidRPr="00C4462E" w:rsidRDefault="00614A79" w:rsidP="00F15E1A">
      <w:pPr>
        <w:pStyle w:val="ListParagraph"/>
        <w:numPr>
          <w:ilvl w:val="0"/>
          <w:numId w:val="32"/>
        </w:numPr>
        <w:jc w:val="both"/>
        <w:rPr>
          <w:sz w:val="22"/>
          <w:szCs w:val="22"/>
        </w:rPr>
      </w:pPr>
      <w:r w:rsidRPr="00C4462E">
        <w:rPr>
          <w:sz w:val="22"/>
          <w:szCs w:val="22"/>
        </w:rPr>
        <w:t xml:space="preserve">The </w:t>
      </w:r>
      <w:r w:rsidR="0028242B" w:rsidRPr="00C4462E">
        <w:rPr>
          <w:sz w:val="22"/>
          <w:szCs w:val="22"/>
        </w:rPr>
        <w:t xml:space="preserve">proposed </w:t>
      </w:r>
      <w:r w:rsidRPr="00C4462E">
        <w:rPr>
          <w:sz w:val="22"/>
          <w:szCs w:val="22"/>
        </w:rPr>
        <w:t xml:space="preserve">choice of a distribution figure is based on employment in 2040, therefore </w:t>
      </w:r>
      <w:r w:rsidR="00F01400">
        <w:rPr>
          <w:sz w:val="22"/>
          <w:szCs w:val="22"/>
        </w:rPr>
        <w:t xml:space="preserve">in locations </w:t>
      </w:r>
      <w:r w:rsidRPr="00C4462E">
        <w:rPr>
          <w:sz w:val="22"/>
          <w:szCs w:val="22"/>
        </w:rPr>
        <w:t>where</w:t>
      </w:r>
      <w:r w:rsidR="00F01400">
        <w:rPr>
          <w:sz w:val="22"/>
          <w:szCs w:val="22"/>
        </w:rPr>
        <w:t xml:space="preserve"> there</w:t>
      </w:r>
      <w:r w:rsidRPr="00C4462E">
        <w:rPr>
          <w:sz w:val="22"/>
          <w:szCs w:val="22"/>
        </w:rPr>
        <w:t xml:space="preserve"> will be more employment there will be </w:t>
      </w:r>
      <w:r w:rsidR="00F01400">
        <w:rPr>
          <w:sz w:val="22"/>
          <w:szCs w:val="22"/>
        </w:rPr>
        <w:t>a higher figure of</w:t>
      </w:r>
      <w:r w:rsidRPr="00C4462E">
        <w:rPr>
          <w:sz w:val="22"/>
          <w:szCs w:val="22"/>
        </w:rPr>
        <w:t xml:space="preserve"> housing need</w:t>
      </w:r>
      <w:r w:rsidR="00F01400">
        <w:rPr>
          <w:sz w:val="22"/>
          <w:szCs w:val="22"/>
        </w:rPr>
        <w:t xml:space="preserve"> identified</w:t>
      </w:r>
      <w:r w:rsidRPr="00C4462E">
        <w:rPr>
          <w:sz w:val="22"/>
          <w:szCs w:val="22"/>
        </w:rPr>
        <w:t>. The propos</w:t>
      </w:r>
      <w:r w:rsidR="00F15E1A" w:rsidRPr="00C4462E">
        <w:rPr>
          <w:sz w:val="22"/>
          <w:szCs w:val="22"/>
        </w:rPr>
        <w:t>ed choice</w:t>
      </w:r>
      <w:r w:rsidRPr="00C4462E">
        <w:rPr>
          <w:sz w:val="22"/>
          <w:szCs w:val="22"/>
        </w:rPr>
        <w:t xml:space="preserve"> </w:t>
      </w:r>
      <w:r w:rsidR="0028242B" w:rsidRPr="00C4462E">
        <w:rPr>
          <w:sz w:val="22"/>
          <w:szCs w:val="22"/>
        </w:rPr>
        <w:t>has</w:t>
      </w:r>
      <w:r w:rsidRPr="00C4462E">
        <w:rPr>
          <w:sz w:val="22"/>
          <w:szCs w:val="22"/>
        </w:rPr>
        <w:t xml:space="preserve"> Oxford </w:t>
      </w:r>
      <w:r w:rsidR="0028242B" w:rsidRPr="00C4462E">
        <w:rPr>
          <w:sz w:val="22"/>
          <w:szCs w:val="22"/>
        </w:rPr>
        <w:t xml:space="preserve">at </w:t>
      </w:r>
      <w:r w:rsidRPr="00C4462E">
        <w:rPr>
          <w:sz w:val="22"/>
          <w:szCs w:val="22"/>
        </w:rPr>
        <w:t>30% of the housing need</w:t>
      </w:r>
      <w:r w:rsidR="00F01400">
        <w:rPr>
          <w:sz w:val="22"/>
          <w:szCs w:val="22"/>
        </w:rPr>
        <w:t xml:space="preserve"> across Oxfordshire</w:t>
      </w:r>
      <w:r w:rsidRPr="00C4462E">
        <w:rPr>
          <w:sz w:val="22"/>
          <w:szCs w:val="22"/>
        </w:rPr>
        <w:t xml:space="preserve">; Cherwell 22.9%, South Oxfordshire 18%, Vale of White Horse </w:t>
      </w:r>
      <w:proofErr w:type="gramStart"/>
      <w:r w:rsidRPr="00C4462E">
        <w:rPr>
          <w:sz w:val="22"/>
          <w:szCs w:val="22"/>
        </w:rPr>
        <w:t>16.2%</w:t>
      </w:r>
      <w:proofErr w:type="gramEnd"/>
      <w:r w:rsidRPr="00C4462E">
        <w:rPr>
          <w:sz w:val="22"/>
          <w:szCs w:val="22"/>
        </w:rPr>
        <w:t xml:space="preserve"> and West Oxfordshire 12.8%. Given the </w:t>
      </w:r>
      <w:r w:rsidR="00F61BDB">
        <w:rPr>
          <w:sz w:val="22"/>
          <w:szCs w:val="22"/>
        </w:rPr>
        <w:t>tight</w:t>
      </w:r>
      <w:r w:rsidRPr="00C4462E">
        <w:rPr>
          <w:sz w:val="22"/>
          <w:szCs w:val="22"/>
        </w:rPr>
        <w:t xml:space="preserve"> city boundaries</w:t>
      </w:r>
      <w:r w:rsidR="00F15E1A" w:rsidRPr="00C4462E">
        <w:rPr>
          <w:sz w:val="22"/>
          <w:szCs w:val="22"/>
        </w:rPr>
        <w:t>, such a distribution creates a</w:t>
      </w:r>
      <w:r w:rsidR="00F01400">
        <w:rPr>
          <w:sz w:val="22"/>
          <w:szCs w:val="22"/>
        </w:rPr>
        <w:t xml:space="preserve"> high level of</w:t>
      </w:r>
      <w:r w:rsidR="00F15E1A" w:rsidRPr="00C4462E">
        <w:rPr>
          <w:sz w:val="22"/>
          <w:szCs w:val="22"/>
        </w:rPr>
        <w:t xml:space="preserve"> unmet need.  We </w:t>
      </w:r>
      <w:r w:rsidR="00F01400">
        <w:rPr>
          <w:sz w:val="22"/>
          <w:szCs w:val="22"/>
        </w:rPr>
        <w:t xml:space="preserve">are not convinced this is the best approach and </w:t>
      </w:r>
      <w:r w:rsidR="00F15E1A" w:rsidRPr="00C4462E">
        <w:rPr>
          <w:sz w:val="22"/>
          <w:szCs w:val="22"/>
        </w:rPr>
        <w:t>seek ongoing discussion with the City and Districts on this matter.</w:t>
      </w:r>
    </w:p>
    <w:p w14:paraId="1480C952" w14:textId="77777777" w:rsidR="00230FFB" w:rsidRPr="00C4462E" w:rsidRDefault="00230FFB" w:rsidP="00932027">
      <w:pPr>
        <w:jc w:val="both"/>
        <w:rPr>
          <w:sz w:val="22"/>
          <w:szCs w:val="22"/>
        </w:rPr>
      </w:pPr>
    </w:p>
    <w:p w14:paraId="71F824DD" w14:textId="77777777" w:rsidR="00932027" w:rsidRPr="00C4462E" w:rsidRDefault="00932027" w:rsidP="00932027">
      <w:pPr>
        <w:jc w:val="both"/>
        <w:rPr>
          <w:sz w:val="22"/>
          <w:szCs w:val="22"/>
        </w:rPr>
      </w:pPr>
      <w:r w:rsidRPr="00C4462E">
        <w:rPr>
          <w:b/>
          <w:bCs/>
          <w:sz w:val="22"/>
          <w:szCs w:val="22"/>
        </w:rPr>
        <w:t>Q6-</w:t>
      </w:r>
      <w:r w:rsidRPr="00C4462E">
        <w:rPr>
          <w:sz w:val="22"/>
          <w:szCs w:val="22"/>
        </w:rPr>
        <w:t>Do you have any comments about the housing mix including the need for specialist housing and affordable housing?</w:t>
      </w:r>
    </w:p>
    <w:p w14:paraId="1E2E6967" w14:textId="72D2E58B" w:rsidR="00932027" w:rsidRPr="00C4462E" w:rsidRDefault="00932027" w:rsidP="00932027">
      <w:pPr>
        <w:jc w:val="both"/>
        <w:rPr>
          <w:sz w:val="22"/>
          <w:szCs w:val="22"/>
        </w:rPr>
      </w:pPr>
    </w:p>
    <w:p w14:paraId="2F20B1EA" w14:textId="2EAB4299" w:rsidR="00932027" w:rsidRPr="00C4462E" w:rsidRDefault="00F15E1A" w:rsidP="00932027">
      <w:pPr>
        <w:pStyle w:val="ListParagraph"/>
        <w:numPr>
          <w:ilvl w:val="0"/>
          <w:numId w:val="32"/>
        </w:numPr>
        <w:jc w:val="both"/>
        <w:rPr>
          <w:sz w:val="22"/>
          <w:szCs w:val="22"/>
        </w:rPr>
      </w:pPr>
      <w:r w:rsidRPr="00C4462E">
        <w:rPr>
          <w:sz w:val="22"/>
          <w:szCs w:val="22"/>
        </w:rPr>
        <w:t xml:space="preserve">We recognise the high need for affordable housing.  We support recognition of the need for more small units in relation to County Council functions such as providing for those </w:t>
      </w:r>
      <w:r w:rsidRPr="00C4462E">
        <w:rPr>
          <w:sz w:val="22"/>
          <w:szCs w:val="22"/>
        </w:rPr>
        <w:lastRenderedPageBreak/>
        <w:t xml:space="preserve">moving out of supported accommodation.  </w:t>
      </w:r>
      <w:r w:rsidR="002F7BEE" w:rsidRPr="00C4462E">
        <w:rPr>
          <w:sz w:val="22"/>
          <w:szCs w:val="22"/>
        </w:rPr>
        <w:t>We would like to further discuss the need and opportunity for various forms of housing</w:t>
      </w:r>
      <w:r w:rsidR="0028242B" w:rsidRPr="00C4462E">
        <w:rPr>
          <w:sz w:val="22"/>
          <w:szCs w:val="22"/>
        </w:rPr>
        <w:t xml:space="preserve"> that the County Council provides,</w:t>
      </w:r>
      <w:r w:rsidR="002F7BEE" w:rsidRPr="00C4462E">
        <w:rPr>
          <w:sz w:val="22"/>
          <w:szCs w:val="22"/>
        </w:rPr>
        <w:t xml:space="preserve"> catering for those with specialist needs, particularly extra care housing, prior to the Reg 19 local plan being finalised.  </w:t>
      </w:r>
      <w:r w:rsidR="00F61BDB">
        <w:rPr>
          <w:sz w:val="22"/>
          <w:szCs w:val="22"/>
        </w:rPr>
        <w:t>We will be undertaking further research on the need for extra care housing</w:t>
      </w:r>
      <w:r w:rsidR="000A0452">
        <w:rPr>
          <w:sz w:val="22"/>
          <w:szCs w:val="22"/>
        </w:rPr>
        <w:t xml:space="preserve"> having regard to the evidence in this HENA</w:t>
      </w:r>
      <w:r w:rsidR="00F61BDB">
        <w:rPr>
          <w:sz w:val="22"/>
          <w:szCs w:val="22"/>
        </w:rPr>
        <w:t>, and th</w:t>
      </w:r>
      <w:r w:rsidR="000A0452">
        <w:rPr>
          <w:sz w:val="22"/>
          <w:szCs w:val="22"/>
        </w:rPr>
        <w:t xml:space="preserve">e </w:t>
      </w:r>
      <w:proofErr w:type="gramStart"/>
      <w:r w:rsidR="000A0452">
        <w:rPr>
          <w:sz w:val="22"/>
          <w:szCs w:val="22"/>
        </w:rPr>
        <w:t>final</w:t>
      </w:r>
      <w:r w:rsidR="00F61BDB">
        <w:rPr>
          <w:sz w:val="22"/>
          <w:szCs w:val="22"/>
        </w:rPr>
        <w:t xml:space="preserve"> results</w:t>
      </w:r>
      <w:proofErr w:type="gramEnd"/>
      <w:r w:rsidR="00F61BDB">
        <w:rPr>
          <w:sz w:val="22"/>
          <w:szCs w:val="22"/>
        </w:rPr>
        <w:t xml:space="preserve"> </w:t>
      </w:r>
      <w:r w:rsidR="000A0452">
        <w:rPr>
          <w:sz w:val="22"/>
          <w:szCs w:val="22"/>
        </w:rPr>
        <w:t>will need to</w:t>
      </w:r>
      <w:r w:rsidR="00F61BDB">
        <w:rPr>
          <w:sz w:val="22"/>
          <w:szCs w:val="22"/>
        </w:rPr>
        <w:t xml:space="preserve"> be reflected in the Reg 19 local plan.</w:t>
      </w:r>
    </w:p>
    <w:p w14:paraId="1FBCF571" w14:textId="77777777" w:rsidR="00932027" w:rsidRPr="00C4462E" w:rsidRDefault="00932027" w:rsidP="00932027">
      <w:pPr>
        <w:jc w:val="both"/>
        <w:rPr>
          <w:sz w:val="22"/>
          <w:szCs w:val="22"/>
        </w:rPr>
      </w:pPr>
    </w:p>
    <w:p w14:paraId="114FC46B" w14:textId="77777777" w:rsidR="00932027" w:rsidRPr="00C4462E" w:rsidRDefault="00932027" w:rsidP="00932027">
      <w:pPr>
        <w:jc w:val="both"/>
        <w:rPr>
          <w:sz w:val="22"/>
          <w:szCs w:val="22"/>
        </w:rPr>
      </w:pPr>
      <w:r w:rsidRPr="00C4462E">
        <w:rPr>
          <w:b/>
          <w:bCs/>
          <w:sz w:val="22"/>
          <w:szCs w:val="22"/>
        </w:rPr>
        <w:t>Q7</w:t>
      </w:r>
      <w:r w:rsidRPr="00C4462E">
        <w:rPr>
          <w:sz w:val="22"/>
          <w:szCs w:val="22"/>
        </w:rPr>
        <w:t>-Do you have any comments about the assessment of housing capacity?</w:t>
      </w:r>
    </w:p>
    <w:p w14:paraId="3C2F0747" w14:textId="77777777" w:rsidR="00932027" w:rsidRPr="00C4462E" w:rsidRDefault="00932027" w:rsidP="00932027">
      <w:pPr>
        <w:jc w:val="both"/>
        <w:rPr>
          <w:sz w:val="22"/>
          <w:szCs w:val="22"/>
        </w:rPr>
      </w:pPr>
    </w:p>
    <w:p w14:paraId="57130C2B" w14:textId="36C4CB06" w:rsidR="00932027" w:rsidRPr="00C4462E" w:rsidRDefault="002F7BEE" w:rsidP="002F7BEE">
      <w:pPr>
        <w:pStyle w:val="ListParagraph"/>
        <w:numPr>
          <w:ilvl w:val="0"/>
          <w:numId w:val="32"/>
        </w:numPr>
        <w:jc w:val="both"/>
        <w:rPr>
          <w:sz w:val="22"/>
          <w:szCs w:val="22"/>
        </w:rPr>
      </w:pPr>
      <w:r w:rsidRPr="00C4462E">
        <w:rPr>
          <w:sz w:val="22"/>
          <w:szCs w:val="22"/>
        </w:rPr>
        <w:t xml:space="preserve">We encourage the city’s officers to identify further opportunities for more housing in a revision of the HELAA to accompany the Regulation 19 Local Plan. </w:t>
      </w:r>
    </w:p>
    <w:p w14:paraId="5D60BB4B" w14:textId="1DB28A4C" w:rsidR="00932027" w:rsidRPr="00C4462E" w:rsidRDefault="00932027" w:rsidP="00932027">
      <w:pPr>
        <w:jc w:val="both"/>
        <w:rPr>
          <w:sz w:val="22"/>
          <w:szCs w:val="22"/>
        </w:rPr>
      </w:pPr>
    </w:p>
    <w:p w14:paraId="213EA525" w14:textId="05C5BD75" w:rsidR="00932027" w:rsidRPr="00C4462E" w:rsidRDefault="00932027" w:rsidP="00932027">
      <w:pPr>
        <w:jc w:val="both"/>
        <w:rPr>
          <w:sz w:val="22"/>
          <w:szCs w:val="22"/>
        </w:rPr>
      </w:pPr>
      <w:r w:rsidRPr="00C4462E">
        <w:rPr>
          <w:b/>
          <w:bCs/>
          <w:sz w:val="22"/>
          <w:szCs w:val="22"/>
        </w:rPr>
        <w:t>Q8</w:t>
      </w:r>
      <w:r w:rsidRPr="00C4462E">
        <w:rPr>
          <w:sz w:val="22"/>
          <w:szCs w:val="22"/>
        </w:rPr>
        <w:t>-Do you have any comments about this conclusion to our approach to assessing housing need and setting a housing requirement in the Oxford Local Plan 2040?</w:t>
      </w:r>
    </w:p>
    <w:p w14:paraId="0E01F564" w14:textId="7C2FC688" w:rsidR="0028242B" w:rsidRPr="00C4462E" w:rsidRDefault="0028242B" w:rsidP="00932027">
      <w:pPr>
        <w:jc w:val="both"/>
        <w:rPr>
          <w:sz w:val="22"/>
          <w:szCs w:val="22"/>
        </w:rPr>
      </w:pPr>
    </w:p>
    <w:p w14:paraId="49EF236C" w14:textId="2B97A1B4" w:rsidR="009B32C6" w:rsidRPr="009B32C6" w:rsidRDefault="009B32C6" w:rsidP="009B32C6">
      <w:pPr>
        <w:pStyle w:val="ListParagraph"/>
        <w:numPr>
          <w:ilvl w:val="0"/>
          <w:numId w:val="32"/>
        </w:numPr>
        <w:jc w:val="both"/>
        <w:rPr>
          <w:sz w:val="22"/>
          <w:szCs w:val="22"/>
        </w:rPr>
      </w:pPr>
      <w:r w:rsidRPr="009B32C6">
        <w:rPr>
          <w:sz w:val="22"/>
          <w:szCs w:val="22"/>
        </w:rPr>
        <w:t>The proposed combination of scenario and method of distribution leads to a higher level of unmet need than the Standard Method.  Although the City Council has stated that most of the unmet need</w:t>
      </w:r>
      <w:r w:rsidR="000A0452">
        <w:rPr>
          <w:sz w:val="22"/>
          <w:szCs w:val="22"/>
        </w:rPr>
        <w:t xml:space="preserve"> for 2020 to 2040</w:t>
      </w:r>
      <w:r w:rsidRPr="009B32C6">
        <w:rPr>
          <w:sz w:val="22"/>
          <w:szCs w:val="22"/>
        </w:rPr>
        <w:t xml:space="preserve"> is likely to have been already provided for in existing allocations in the Districts’ Local Plans, those figures and the sites identified to date need to be clarified, along with an understanding that what is proposed is realistic and achievable.  It is also necessary to be clear on how the affordable housing will be apportioned.  The County Council has an ongoing interest in these matters not just in relation to our social care and transport functions, but also our wider strategic interests in working towards a greener, </w:t>
      </w:r>
      <w:proofErr w:type="gramStart"/>
      <w:r w:rsidRPr="009B32C6">
        <w:rPr>
          <w:sz w:val="22"/>
          <w:szCs w:val="22"/>
        </w:rPr>
        <w:t>fairer</w:t>
      </w:r>
      <w:proofErr w:type="gramEnd"/>
      <w:r w:rsidRPr="009B32C6">
        <w:rPr>
          <w:sz w:val="22"/>
          <w:szCs w:val="22"/>
        </w:rPr>
        <w:t xml:space="preserve"> and healthier county.  We seek to be involved in discussions and that there be agreement between the City and District Councils on the extent of Oxford’s needs and unmet needs.  </w:t>
      </w:r>
    </w:p>
    <w:p w14:paraId="49BA4372" w14:textId="498D39CC" w:rsidR="00932027" w:rsidRPr="003A4102" w:rsidRDefault="00932027" w:rsidP="009B32C6">
      <w:pPr>
        <w:pStyle w:val="ListParagraph"/>
        <w:ind w:left="360"/>
        <w:jc w:val="both"/>
        <w:rPr>
          <w:sz w:val="22"/>
          <w:szCs w:val="22"/>
        </w:rPr>
      </w:pPr>
    </w:p>
    <w:sectPr w:rsidR="00932027" w:rsidRPr="003A410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0834" w14:textId="77777777" w:rsidR="00CA07EC" w:rsidRDefault="00CA07EC" w:rsidP="00CA07EC">
      <w:r>
        <w:separator/>
      </w:r>
    </w:p>
  </w:endnote>
  <w:endnote w:type="continuationSeparator" w:id="0">
    <w:p w14:paraId="343343A5" w14:textId="77777777" w:rsidR="00CA07EC" w:rsidRDefault="00CA07EC" w:rsidP="00CA07EC">
      <w:r>
        <w:continuationSeparator/>
      </w:r>
    </w:p>
  </w:endnote>
  <w:endnote w:type="continuationNotice" w:id="1">
    <w:p w14:paraId="59603A1C" w14:textId="77777777" w:rsidR="00B20426" w:rsidRDefault="00B20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032186"/>
      <w:docPartObj>
        <w:docPartGallery w:val="Page Numbers (Bottom of Page)"/>
        <w:docPartUnique/>
      </w:docPartObj>
    </w:sdtPr>
    <w:sdtEndPr>
      <w:rPr>
        <w:noProof/>
      </w:rPr>
    </w:sdtEndPr>
    <w:sdtContent>
      <w:p w14:paraId="7B84C08F" w14:textId="4EC9AC97" w:rsidR="00CA07EC" w:rsidRDefault="00CA07E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77A07DAC" w14:textId="7829ED62" w:rsidR="00CA07EC" w:rsidRDefault="00CA0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AD2F" w14:textId="77777777" w:rsidR="00CA07EC" w:rsidRDefault="00CA07EC" w:rsidP="00CA07EC">
      <w:r>
        <w:separator/>
      </w:r>
    </w:p>
  </w:footnote>
  <w:footnote w:type="continuationSeparator" w:id="0">
    <w:p w14:paraId="58C2348C" w14:textId="77777777" w:rsidR="00CA07EC" w:rsidRDefault="00CA07EC" w:rsidP="00CA07EC">
      <w:r>
        <w:continuationSeparator/>
      </w:r>
    </w:p>
  </w:footnote>
  <w:footnote w:type="continuationNotice" w:id="1">
    <w:p w14:paraId="5866C118" w14:textId="77777777" w:rsidR="00B20426" w:rsidRDefault="00B204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00907F"/>
    <w:multiLevelType w:val="hybridMultilevel"/>
    <w:tmpl w:val="351CFF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D5293"/>
    <w:multiLevelType w:val="multilevel"/>
    <w:tmpl w:val="450A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B5400"/>
    <w:multiLevelType w:val="hybridMultilevel"/>
    <w:tmpl w:val="C09A5BDA"/>
    <w:lvl w:ilvl="0" w:tplc="D01414F0">
      <w:start w:val="1"/>
      <w:numFmt w:val="bullet"/>
      <w:lvlText w:val="-"/>
      <w:lvlJc w:val="left"/>
      <w:pPr>
        <w:ind w:left="620" w:hanging="360"/>
      </w:pPr>
      <w:rPr>
        <w:rFonts w:ascii="Arial" w:eastAsiaTheme="minorHAnsi" w:hAnsi="Arial" w:cs="Arial"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3" w15:restartNumberingAfterBreak="0">
    <w:nsid w:val="084E3D80"/>
    <w:multiLevelType w:val="multilevel"/>
    <w:tmpl w:val="0BFAE65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6D4256"/>
    <w:multiLevelType w:val="hybridMultilevel"/>
    <w:tmpl w:val="3E76C176"/>
    <w:lvl w:ilvl="0" w:tplc="4C526E0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AC34B"/>
    <w:multiLevelType w:val="hybridMultilevel"/>
    <w:tmpl w:val="FFFFFFFF"/>
    <w:lvl w:ilvl="0" w:tplc="A7D2B84E">
      <w:start w:val="1"/>
      <w:numFmt w:val="decimal"/>
      <w:lvlText w:val="%1."/>
      <w:lvlJc w:val="left"/>
      <w:pPr>
        <w:ind w:left="720" w:hanging="360"/>
      </w:pPr>
    </w:lvl>
    <w:lvl w:ilvl="1" w:tplc="2F4E12E4">
      <w:start w:val="1"/>
      <w:numFmt w:val="lowerLetter"/>
      <w:lvlText w:val="%2."/>
      <w:lvlJc w:val="left"/>
      <w:pPr>
        <w:ind w:left="1440" w:hanging="360"/>
      </w:pPr>
    </w:lvl>
    <w:lvl w:ilvl="2" w:tplc="F184EE8A">
      <w:start w:val="1"/>
      <w:numFmt w:val="lowerRoman"/>
      <w:lvlText w:val="%3."/>
      <w:lvlJc w:val="right"/>
      <w:pPr>
        <w:ind w:left="2160" w:hanging="180"/>
      </w:pPr>
    </w:lvl>
    <w:lvl w:ilvl="3" w:tplc="D5CEB9BA">
      <w:start w:val="1"/>
      <w:numFmt w:val="decimal"/>
      <w:lvlText w:val="%4."/>
      <w:lvlJc w:val="left"/>
      <w:pPr>
        <w:ind w:left="2880" w:hanging="360"/>
      </w:pPr>
    </w:lvl>
    <w:lvl w:ilvl="4" w:tplc="98F0A9A6">
      <w:start w:val="1"/>
      <w:numFmt w:val="lowerLetter"/>
      <w:lvlText w:val="%5."/>
      <w:lvlJc w:val="left"/>
      <w:pPr>
        <w:ind w:left="3600" w:hanging="360"/>
      </w:pPr>
    </w:lvl>
    <w:lvl w:ilvl="5" w:tplc="CC427FB8">
      <w:start w:val="1"/>
      <w:numFmt w:val="lowerRoman"/>
      <w:lvlText w:val="%6."/>
      <w:lvlJc w:val="right"/>
      <w:pPr>
        <w:ind w:left="4320" w:hanging="180"/>
      </w:pPr>
    </w:lvl>
    <w:lvl w:ilvl="6" w:tplc="55DE7860">
      <w:start w:val="1"/>
      <w:numFmt w:val="decimal"/>
      <w:lvlText w:val="%7."/>
      <w:lvlJc w:val="left"/>
      <w:pPr>
        <w:ind w:left="5040" w:hanging="360"/>
      </w:pPr>
    </w:lvl>
    <w:lvl w:ilvl="7" w:tplc="9E3E4536">
      <w:start w:val="1"/>
      <w:numFmt w:val="lowerLetter"/>
      <w:lvlText w:val="%8."/>
      <w:lvlJc w:val="left"/>
      <w:pPr>
        <w:ind w:left="5760" w:hanging="360"/>
      </w:pPr>
    </w:lvl>
    <w:lvl w:ilvl="8" w:tplc="A8B6E01E">
      <w:start w:val="1"/>
      <w:numFmt w:val="lowerRoman"/>
      <w:lvlText w:val="%9."/>
      <w:lvlJc w:val="right"/>
      <w:pPr>
        <w:ind w:left="6480" w:hanging="180"/>
      </w:pPr>
    </w:lvl>
  </w:abstractNum>
  <w:abstractNum w:abstractNumId="6" w15:restartNumberingAfterBreak="0">
    <w:nsid w:val="0EA20CBF"/>
    <w:multiLevelType w:val="hybridMultilevel"/>
    <w:tmpl w:val="80EE9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2C1FA"/>
    <w:multiLevelType w:val="hybridMultilevel"/>
    <w:tmpl w:val="98462C1A"/>
    <w:lvl w:ilvl="0" w:tplc="0809000F">
      <w:start w:val="1"/>
      <w:numFmt w:val="decimal"/>
      <w:lvlText w:val="%1."/>
      <w:lvlJc w:val="left"/>
      <w:pPr>
        <w:ind w:left="720" w:hanging="360"/>
      </w:pPr>
      <w:rPr>
        <w:rFonts w:hint="default"/>
      </w:rPr>
    </w:lvl>
    <w:lvl w:ilvl="1" w:tplc="D0248168">
      <w:start w:val="1"/>
      <w:numFmt w:val="bullet"/>
      <w:lvlText w:val="o"/>
      <w:lvlJc w:val="left"/>
      <w:pPr>
        <w:ind w:left="1440" w:hanging="360"/>
      </w:pPr>
      <w:rPr>
        <w:rFonts w:ascii="Courier New" w:hAnsi="Courier New" w:hint="default"/>
      </w:rPr>
    </w:lvl>
    <w:lvl w:ilvl="2" w:tplc="E676F2DE">
      <w:start w:val="1"/>
      <w:numFmt w:val="bullet"/>
      <w:lvlText w:val=""/>
      <w:lvlJc w:val="left"/>
      <w:pPr>
        <w:ind w:left="2160" w:hanging="360"/>
      </w:pPr>
      <w:rPr>
        <w:rFonts w:ascii="Wingdings" w:hAnsi="Wingdings" w:hint="default"/>
      </w:rPr>
    </w:lvl>
    <w:lvl w:ilvl="3" w:tplc="C9AC53F0">
      <w:start w:val="1"/>
      <w:numFmt w:val="bullet"/>
      <w:lvlText w:val=""/>
      <w:lvlJc w:val="left"/>
      <w:pPr>
        <w:ind w:left="2880" w:hanging="360"/>
      </w:pPr>
      <w:rPr>
        <w:rFonts w:ascii="Symbol" w:hAnsi="Symbol" w:hint="default"/>
      </w:rPr>
    </w:lvl>
    <w:lvl w:ilvl="4" w:tplc="95BAA3EC">
      <w:start w:val="1"/>
      <w:numFmt w:val="bullet"/>
      <w:lvlText w:val="o"/>
      <w:lvlJc w:val="left"/>
      <w:pPr>
        <w:ind w:left="3600" w:hanging="360"/>
      </w:pPr>
      <w:rPr>
        <w:rFonts w:ascii="Courier New" w:hAnsi="Courier New" w:hint="default"/>
      </w:rPr>
    </w:lvl>
    <w:lvl w:ilvl="5" w:tplc="0B8A1068">
      <w:start w:val="1"/>
      <w:numFmt w:val="bullet"/>
      <w:lvlText w:val=""/>
      <w:lvlJc w:val="left"/>
      <w:pPr>
        <w:ind w:left="4320" w:hanging="360"/>
      </w:pPr>
      <w:rPr>
        <w:rFonts w:ascii="Wingdings" w:hAnsi="Wingdings" w:hint="default"/>
      </w:rPr>
    </w:lvl>
    <w:lvl w:ilvl="6" w:tplc="B13E14C6">
      <w:start w:val="1"/>
      <w:numFmt w:val="bullet"/>
      <w:lvlText w:val=""/>
      <w:lvlJc w:val="left"/>
      <w:pPr>
        <w:ind w:left="5040" w:hanging="360"/>
      </w:pPr>
      <w:rPr>
        <w:rFonts w:ascii="Symbol" w:hAnsi="Symbol" w:hint="default"/>
      </w:rPr>
    </w:lvl>
    <w:lvl w:ilvl="7" w:tplc="3A729824">
      <w:start w:val="1"/>
      <w:numFmt w:val="bullet"/>
      <w:lvlText w:val="o"/>
      <w:lvlJc w:val="left"/>
      <w:pPr>
        <w:ind w:left="5760" w:hanging="360"/>
      </w:pPr>
      <w:rPr>
        <w:rFonts w:ascii="Courier New" w:hAnsi="Courier New" w:hint="default"/>
      </w:rPr>
    </w:lvl>
    <w:lvl w:ilvl="8" w:tplc="2AE2915A">
      <w:start w:val="1"/>
      <w:numFmt w:val="bullet"/>
      <w:lvlText w:val=""/>
      <w:lvlJc w:val="left"/>
      <w:pPr>
        <w:ind w:left="6480" w:hanging="360"/>
      </w:pPr>
      <w:rPr>
        <w:rFonts w:ascii="Wingdings" w:hAnsi="Wingdings" w:hint="default"/>
      </w:rPr>
    </w:lvl>
  </w:abstractNum>
  <w:abstractNum w:abstractNumId="8" w15:restartNumberingAfterBreak="0">
    <w:nsid w:val="13927C25"/>
    <w:multiLevelType w:val="hybridMultilevel"/>
    <w:tmpl w:val="D1041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7278C1"/>
    <w:multiLevelType w:val="hybridMultilevel"/>
    <w:tmpl w:val="B11AE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C96271"/>
    <w:multiLevelType w:val="hybridMultilevel"/>
    <w:tmpl w:val="95B0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C4B3C"/>
    <w:multiLevelType w:val="hybridMultilevel"/>
    <w:tmpl w:val="0838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51518"/>
    <w:multiLevelType w:val="hybridMultilevel"/>
    <w:tmpl w:val="3E76C17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B63E8D"/>
    <w:multiLevelType w:val="hybridMultilevel"/>
    <w:tmpl w:val="5CB64536"/>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EBE1DE8"/>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9B82AF2"/>
    <w:multiLevelType w:val="hybridMultilevel"/>
    <w:tmpl w:val="69E2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83E34"/>
    <w:multiLevelType w:val="hybridMultilevel"/>
    <w:tmpl w:val="102CAE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A5927"/>
    <w:multiLevelType w:val="hybridMultilevel"/>
    <w:tmpl w:val="458C5B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E1576A"/>
    <w:multiLevelType w:val="hybridMultilevel"/>
    <w:tmpl w:val="98BE539A"/>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86636F7"/>
    <w:multiLevelType w:val="hybridMultilevel"/>
    <w:tmpl w:val="C4A46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895066"/>
    <w:multiLevelType w:val="hybridMultilevel"/>
    <w:tmpl w:val="34D2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52668"/>
    <w:multiLevelType w:val="hybridMultilevel"/>
    <w:tmpl w:val="4D80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C32CAF"/>
    <w:multiLevelType w:val="hybridMultilevel"/>
    <w:tmpl w:val="E53E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C7C7D"/>
    <w:multiLevelType w:val="hybridMultilevel"/>
    <w:tmpl w:val="3F2AB4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B03BC2"/>
    <w:multiLevelType w:val="hybridMultilevel"/>
    <w:tmpl w:val="72C6B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884005"/>
    <w:multiLevelType w:val="multilevel"/>
    <w:tmpl w:val="6DCE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447A62"/>
    <w:multiLevelType w:val="hybridMultilevel"/>
    <w:tmpl w:val="230E11C4"/>
    <w:lvl w:ilvl="0" w:tplc="EBDC005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FF2369"/>
    <w:multiLevelType w:val="hybridMultilevel"/>
    <w:tmpl w:val="641ABA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A95DC9"/>
    <w:multiLevelType w:val="hybridMultilevel"/>
    <w:tmpl w:val="FFFFFFFF"/>
    <w:lvl w:ilvl="0" w:tplc="AD4821A2">
      <w:start w:val="1"/>
      <w:numFmt w:val="decimal"/>
      <w:lvlText w:val="%1."/>
      <w:lvlJc w:val="left"/>
      <w:pPr>
        <w:ind w:left="720" w:hanging="360"/>
      </w:pPr>
    </w:lvl>
    <w:lvl w:ilvl="1" w:tplc="B82053FA">
      <w:start w:val="1"/>
      <w:numFmt w:val="lowerLetter"/>
      <w:lvlText w:val="%2."/>
      <w:lvlJc w:val="left"/>
      <w:pPr>
        <w:ind w:left="1440" w:hanging="360"/>
      </w:pPr>
    </w:lvl>
    <w:lvl w:ilvl="2" w:tplc="21F288E2">
      <w:start w:val="1"/>
      <w:numFmt w:val="lowerRoman"/>
      <w:lvlText w:val="%3."/>
      <w:lvlJc w:val="right"/>
      <w:pPr>
        <w:ind w:left="2160" w:hanging="180"/>
      </w:pPr>
    </w:lvl>
    <w:lvl w:ilvl="3" w:tplc="CE563574">
      <w:start w:val="1"/>
      <w:numFmt w:val="decimal"/>
      <w:lvlText w:val="%4."/>
      <w:lvlJc w:val="left"/>
      <w:pPr>
        <w:ind w:left="2880" w:hanging="360"/>
      </w:pPr>
    </w:lvl>
    <w:lvl w:ilvl="4" w:tplc="14764B64">
      <w:start w:val="1"/>
      <w:numFmt w:val="lowerLetter"/>
      <w:lvlText w:val="%5."/>
      <w:lvlJc w:val="left"/>
      <w:pPr>
        <w:ind w:left="3600" w:hanging="360"/>
      </w:pPr>
    </w:lvl>
    <w:lvl w:ilvl="5" w:tplc="A4C0C750">
      <w:start w:val="1"/>
      <w:numFmt w:val="lowerRoman"/>
      <w:lvlText w:val="%6."/>
      <w:lvlJc w:val="right"/>
      <w:pPr>
        <w:ind w:left="4320" w:hanging="180"/>
      </w:pPr>
    </w:lvl>
    <w:lvl w:ilvl="6" w:tplc="C5468B4A">
      <w:start w:val="1"/>
      <w:numFmt w:val="decimal"/>
      <w:lvlText w:val="%7."/>
      <w:lvlJc w:val="left"/>
      <w:pPr>
        <w:ind w:left="5040" w:hanging="360"/>
      </w:pPr>
    </w:lvl>
    <w:lvl w:ilvl="7" w:tplc="365E076A">
      <w:start w:val="1"/>
      <w:numFmt w:val="lowerLetter"/>
      <w:lvlText w:val="%8."/>
      <w:lvlJc w:val="left"/>
      <w:pPr>
        <w:ind w:left="5760" w:hanging="360"/>
      </w:pPr>
    </w:lvl>
    <w:lvl w:ilvl="8" w:tplc="B3380AA2">
      <w:start w:val="1"/>
      <w:numFmt w:val="lowerRoman"/>
      <w:lvlText w:val="%9."/>
      <w:lvlJc w:val="right"/>
      <w:pPr>
        <w:ind w:left="6480" w:hanging="180"/>
      </w:pPr>
    </w:lvl>
  </w:abstractNum>
  <w:abstractNum w:abstractNumId="29" w15:restartNumberingAfterBreak="0">
    <w:nsid w:val="7B9D7CC0"/>
    <w:multiLevelType w:val="hybridMultilevel"/>
    <w:tmpl w:val="269A4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BCE6846"/>
    <w:multiLevelType w:val="hybridMultilevel"/>
    <w:tmpl w:val="26BA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61423"/>
    <w:multiLevelType w:val="hybridMultilevel"/>
    <w:tmpl w:val="7B10A1E0"/>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46293672">
    <w:abstractNumId w:val="7"/>
  </w:num>
  <w:num w:numId="2" w16cid:durableId="788934304">
    <w:abstractNumId w:val="5"/>
  </w:num>
  <w:num w:numId="3" w16cid:durableId="778334304">
    <w:abstractNumId w:val="28"/>
  </w:num>
  <w:num w:numId="4" w16cid:durableId="1268853323">
    <w:abstractNumId w:val="1"/>
  </w:num>
  <w:num w:numId="5" w16cid:durableId="1582451596">
    <w:abstractNumId w:val="25"/>
  </w:num>
  <w:num w:numId="6" w16cid:durableId="2047564366">
    <w:abstractNumId w:val="3"/>
  </w:num>
  <w:num w:numId="7" w16cid:durableId="667638283">
    <w:abstractNumId w:val="21"/>
  </w:num>
  <w:num w:numId="8" w16cid:durableId="1142848386">
    <w:abstractNumId w:val="27"/>
  </w:num>
  <w:num w:numId="9" w16cid:durableId="2109540241">
    <w:abstractNumId w:val="22"/>
  </w:num>
  <w:num w:numId="10" w16cid:durableId="1621178499">
    <w:abstractNumId w:val="0"/>
  </w:num>
  <w:num w:numId="11" w16cid:durableId="13307302">
    <w:abstractNumId w:val="2"/>
  </w:num>
  <w:num w:numId="12" w16cid:durableId="474030131">
    <w:abstractNumId w:val="19"/>
  </w:num>
  <w:num w:numId="13" w16cid:durableId="1179928059">
    <w:abstractNumId w:val="31"/>
  </w:num>
  <w:num w:numId="14" w16cid:durableId="1052998046">
    <w:abstractNumId w:val="15"/>
  </w:num>
  <w:num w:numId="15" w16cid:durableId="1693459202">
    <w:abstractNumId w:val="4"/>
  </w:num>
  <w:num w:numId="16" w16cid:durableId="786241583">
    <w:abstractNumId w:val="6"/>
  </w:num>
  <w:num w:numId="17" w16cid:durableId="931085360">
    <w:abstractNumId w:val="18"/>
  </w:num>
  <w:num w:numId="18" w16cid:durableId="217597014">
    <w:abstractNumId w:val="29"/>
  </w:num>
  <w:num w:numId="19" w16cid:durableId="824206299">
    <w:abstractNumId w:val="13"/>
  </w:num>
  <w:num w:numId="20" w16cid:durableId="1380516716">
    <w:abstractNumId w:val="26"/>
  </w:num>
  <w:num w:numId="21" w16cid:durableId="1074863120">
    <w:abstractNumId w:val="17"/>
  </w:num>
  <w:num w:numId="22" w16cid:durableId="955985516">
    <w:abstractNumId w:val="14"/>
  </w:num>
  <w:num w:numId="23" w16cid:durableId="1030497854">
    <w:abstractNumId w:val="8"/>
  </w:num>
  <w:num w:numId="24" w16cid:durableId="2104761468">
    <w:abstractNumId w:val="12"/>
  </w:num>
  <w:num w:numId="25" w16cid:durableId="1335183855">
    <w:abstractNumId w:val="24"/>
  </w:num>
  <w:num w:numId="26" w16cid:durableId="1293174056">
    <w:abstractNumId w:val="30"/>
  </w:num>
  <w:num w:numId="27" w16cid:durableId="1918395534">
    <w:abstractNumId w:val="20"/>
  </w:num>
  <w:num w:numId="28" w16cid:durableId="434785749">
    <w:abstractNumId w:val="10"/>
  </w:num>
  <w:num w:numId="29" w16cid:durableId="370810522">
    <w:abstractNumId w:val="11"/>
  </w:num>
  <w:num w:numId="30" w16cid:durableId="1535116092">
    <w:abstractNumId w:val="16"/>
  </w:num>
  <w:num w:numId="31" w16cid:durableId="1242566435">
    <w:abstractNumId w:val="9"/>
  </w:num>
  <w:num w:numId="32" w16cid:durableId="3142660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30B4"/>
    <w:rsid w:val="000033F5"/>
    <w:rsid w:val="00012DE6"/>
    <w:rsid w:val="00017B19"/>
    <w:rsid w:val="000230D0"/>
    <w:rsid w:val="000235FC"/>
    <w:rsid w:val="00025E80"/>
    <w:rsid w:val="00037001"/>
    <w:rsid w:val="00044A09"/>
    <w:rsid w:val="00054973"/>
    <w:rsid w:val="00056471"/>
    <w:rsid w:val="00063CC2"/>
    <w:rsid w:val="00067A7B"/>
    <w:rsid w:val="0007509A"/>
    <w:rsid w:val="000757EF"/>
    <w:rsid w:val="000818B3"/>
    <w:rsid w:val="000826DA"/>
    <w:rsid w:val="00091E2D"/>
    <w:rsid w:val="0009558C"/>
    <w:rsid w:val="000A0452"/>
    <w:rsid w:val="000A59A7"/>
    <w:rsid w:val="000A5C66"/>
    <w:rsid w:val="000B4310"/>
    <w:rsid w:val="000B66D4"/>
    <w:rsid w:val="000C172F"/>
    <w:rsid w:val="000D56B3"/>
    <w:rsid w:val="000E0F00"/>
    <w:rsid w:val="000E10AA"/>
    <w:rsid w:val="000E54EC"/>
    <w:rsid w:val="000F483B"/>
    <w:rsid w:val="000F56F1"/>
    <w:rsid w:val="000F699F"/>
    <w:rsid w:val="00101388"/>
    <w:rsid w:val="00107637"/>
    <w:rsid w:val="001122B0"/>
    <w:rsid w:val="00116A42"/>
    <w:rsid w:val="00117D53"/>
    <w:rsid w:val="001258CB"/>
    <w:rsid w:val="00125969"/>
    <w:rsid w:val="00127D0A"/>
    <w:rsid w:val="00134E61"/>
    <w:rsid w:val="00137442"/>
    <w:rsid w:val="00156948"/>
    <w:rsid w:val="00160BE2"/>
    <w:rsid w:val="001836E6"/>
    <w:rsid w:val="00186BF1"/>
    <w:rsid w:val="001902EC"/>
    <w:rsid w:val="001904D1"/>
    <w:rsid w:val="00190E96"/>
    <w:rsid w:val="00194E11"/>
    <w:rsid w:val="001A09D5"/>
    <w:rsid w:val="001A5ED8"/>
    <w:rsid w:val="001B3F3A"/>
    <w:rsid w:val="001C1176"/>
    <w:rsid w:val="001C19CB"/>
    <w:rsid w:val="001C1EB6"/>
    <w:rsid w:val="001C3E9B"/>
    <w:rsid w:val="001C5ABE"/>
    <w:rsid w:val="001F3D72"/>
    <w:rsid w:val="001F427C"/>
    <w:rsid w:val="00203D84"/>
    <w:rsid w:val="002042D3"/>
    <w:rsid w:val="002179B4"/>
    <w:rsid w:val="00230651"/>
    <w:rsid w:val="00230FFB"/>
    <w:rsid w:val="00244B51"/>
    <w:rsid w:val="00265EA4"/>
    <w:rsid w:val="0026691F"/>
    <w:rsid w:val="002701B3"/>
    <w:rsid w:val="00273D45"/>
    <w:rsid w:val="0027589A"/>
    <w:rsid w:val="00281334"/>
    <w:rsid w:val="0028242B"/>
    <w:rsid w:val="00283EDB"/>
    <w:rsid w:val="00285E9C"/>
    <w:rsid w:val="002935D2"/>
    <w:rsid w:val="00293C91"/>
    <w:rsid w:val="00295505"/>
    <w:rsid w:val="002A611A"/>
    <w:rsid w:val="002A73CA"/>
    <w:rsid w:val="002B2988"/>
    <w:rsid w:val="002B3F61"/>
    <w:rsid w:val="002B48F2"/>
    <w:rsid w:val="002C7A9B"/>
    <w:rsid w:val="002D2DC0"/>
    <w:rsid w:val="002D37BE"/>
    <w:rsid w:val="002DCE2B"/>
    <w:rsid w:val="002E478F"/>
    <w:rsid w:val="002F06C9"/>
    <w:rsid w:val="002F7BEE"/>
    <w:rsid w:val="00307182"/>
    <w:rsid w:val="0030756A"/>
    <w:rsid w:val="0031241A"/>
    <w:rsid w:val="00324CAD"/>
    <w:rsid w:val="00325CC0"/>
    <w:rsid w:val="003316A4"/>
    <w:rsid w:val="00332C58"/>
    <w:rsid w:val="00335447"/>
    <w:rsid w:val="0034049D"/>
    <w:rsid w:val="0034087C"/>
    <w:rsid w:val="003561A4"/>
    <w:rsid w:val="00366935"/>
    <w:rsid w:val="0038499C"/>
    <w:rsid w:val="003A4102"/>
    <w:rsid w:val="003A67E0"/>
    <w:rsid w:val="003A72EA"/>
    <w:rsid w:val="003B744A"/>
    <w:rsid w:val="003D4224"/>
    <w:rsid w:val="003D7455"/>
    <w:rsid w:val="003E0FBC"/>
    <w:rsid w:val="003E2672"/>
    <w:rsid w:val="003E3094"/>
    <w:rsid w:val="003F5BF6"/>
    <w:rsid w:val="003F62A8"/>
    <w:rsid w:val="003F78CF"/>
    <w:rsid w:val="004000D7"/>
    <w:rsid w:val="00404C2B"/>
    <w:rsid w:val="0041200F"/>
    <w:rsid w:val="00420772"/>
    <w:rsid w:val="0042539D"/>
    <w:rsid w:val="00425619"/>
    <w:rsid w:val="00426B14"/>
    <w:rsid w:val="00440D24"/>
    <w:rsid w:val="004456E3"/>
    <w:rsid w:val="0044657D"/>
    <w:rsid w:val="004524E4"/>
    <w:rsid w:val="0045372D"/>
    <w:rsid w:val="00454389"/>
    <w:rsid w:val="004554AF"/>
    <w:rsid w:val="00464497"/>
    <w:rsid w:val="00471EAD"/>
    <w:rsid w:val="00477B52"/>
    <w:rsid w:val="00487D06"/>
    <w:rsid w:val="0049106E"/>
    <w:rsid w:val="00492EB6"/>
    <w:rsid w:val="004A4CB9"/>
    <w:rsid w:val="004B2469"/>
    <w:rsid w:val="004D34EB"/>
    <w:rsid w:val="004D3DCD"/>
    <w:rsid w:val="004E141C"/>
    <w:rsid w:val="004F58DD"/>
    <w:rsid w:val="004F5EC3"/>
    <w:rsid w:val="004F60D6"/>
    <w:rsid w:val="00500FD4"/>
    <w:rsid w:val="00501564"/>
    <w:rsid w:val="00504E43"/>
    <w:rsid w:val="005105D3"/>
    <w:rsid w:val="00511C54"/>
    <w:rsid w:val="00515A2F"/>
    <w:rsid w:val="005458D0"/>
    <w:rsid w:val="00546245"/>
    <w:rsid w:val="00547F0F"/>
    <w:rsid w:val="0055156E"/>
    <w:rsid w:val="00555645"/>
    <w:rsid w:val="00556B69"/>
    <w:rsid w:val="0057411C"/>
    <w:rsid w:val="005767D9"/>
    <w:rsid w:val="00576938"/>
    <w:rsid w:val="00581FAF"/>
    <w:rsid w:val="00583166"/>
    <w:rsid w:val="005A215C"/>
    <w:rsid w:val="005A4D4E"/>
    <w:rsid w:val="005B0FBB"/>
    <w:rsid w:val="005B3A14"/>
    <w:rsid w:val="005B429B"/>
    <w:rsid w:val="005B51CA"/>
    <w:rsid w:val="005B68E5"/>
    <w:rsid w:val="005C3D4E"/>
    <w:rsid w:val="005C6C28"/>
    <w:rsid w:val="005D2A12"/>
    <w:rsid w:val="005D7EFF"/>
    <w:rsid w:val="005E055A"/>
    <w:rsid w:val="005E1B06"/>
    <w:rsid w:val="005F260C"/>
    <w:rsid w:val="005F5D4A"/>
    <w:rsid w:val="005F62A3"/>
    <w:rsid w:val="005F6DBF"/>
    <w:rsid w:val="006115E4"/>
    <w:rsid w:val="00611D90"/>
    <w:rsid w:val="00614A79"/>
    <w:rsid w:val="00615513"/>
    <w:rsid w:val="00615FF6"/>
    <w:rsid w:val="006162AA"/>
    <w:rsid w:val="00620298"/>
    <w:rsid w:val="0062529F"/>
    <w:rsid w:val="00627E2E"/>
    <w:rsid w:val="006400D7"/>
    <w:rsid w:val="006413D4"/>
    <w:rsid w:val="00644A7E"/>
    <w:rsid w:val="0064695D"/>
    <w:rsid w:val="00646A57"/>
    <w:rsid w:val="0064C73D"/>
    <w:rsid w:val="006665E3"/>
    <w:rsid w:val="0066675D"/>
    <w:rsid w:val="00667162"/>
    <w:rsid w:val="00670459"/>
    <w:rsid w:val="00672E8A"/>
    <w:rsid w:val="006B177C"/>
    <w:rsid w:val="006B5695"/>
    <w:rsid w:val="006C230B"/>
    <w:rsid w:val="006C2D76"/>
    <w:rsid w:val="006C721A"/>
    <w:rsid w:val="006D1B61"/>
    <w:rsid w:val="006E71E9"/>
    <w:rsid w:val="006F0D94"/>
    <w:rsid w:val="00700612"/>
    <w:rsid w:val="00702379"/>
    <w:rsid w:val="00704C4D"/>
    <w:rsid w:val="00712935"/>
    <w:rsid w:val="00713FCA"/>
    <w:rsid w:val="00716D3D"/>
    <w:rsid w:val="007173E4"/>
    <w:rsid w:val="00730671"/>
    <w:rsid w:val="00731FD3"/>
    <w:rsid w:val="00736FC1"/>
    <w:rsid w:val="00752B3E"/>
    <w:rsid w:val="0075336B"/>
    <w:rsid w:val="00760B00"/>
    <w:rsid w:val="00766EB2"/>
    <w:rsid w:val="00783597"/>
    <w:rsid w:val="00785FE7"/>
    <w:rsid w:val="007866A2"/>
    <w:rsid w:val="007908F4"/>
    <w:rsid w:val="007915C4"/>
    <w:rsid w:val="00791FDB"/>
    <w:rsid w:val="00796C6D"/>
    <w:rsid w:val="007A1CB8"/>
    <w:rsid w:val="007A3242"/>
    <w:rsid w:val="007C7650"/>
    <w:rsid w:val="007D03A0"/>
    <w:rsid w:val="007D7C79"/>
    <w:rsid w:val="007E3703"/>
    <w:rsid w:val="007E5869"/>
    <w:rsid w:val="007F409C"/>
    <w:rsid w:val="008030B4"/>
    <w:rsid w:val="00814EBE"/>
    <w:rsid w:val="00825B62"/>
    <w:rsid w:val="0082656A"/>
    <w:rsid w:val="00830F0C"/>
    <w:rsid w:val="0083184D"/>
    <w:rsid w:val="00833322"/>
    <w:rsid w:val="00837BB7"/>
    <w:rsid w:val="00845E10"/>
    <w:rsid w:val="00847389"/>
    <w:rsid w:val="008474D2"/>
    <w:rsid w:val="00850B1C"/>
    <w:rsid w:val="00867FFD"/>
    <w:rsid w:val="0087026B"/>
    <w:rsid w:val="00871B69"/>
    <w:rsid w:val="008749FC"/>
    <w:rsid w:val="00881305"/>
    <w:rsid w:val="0089C451"/>
    <w:rsid w:val="008A2FAB"/>
    <w:rsid w:val="008A6286"/>
    <w:rsid w:val="008B316D"/>
    <w:rsid w:val="008BF6E1"/>
    <w:rsid w:val="008C3BC5"/>
    <w:rsid w:val="008D1413"/>
    <w:rsid w:val="008D4763"/>
    <w:rsid w:val="008E6506"/>
    <w:rsid w:val="008F5FAB"/>
    <w:rsid w:val="008F7476"/>
    <w:rsid w:val="00912AAE"/>
    <w:rsid w:val="009159BF"/>
    <w:rsid w:val="009215EE"/>
    <w:rsid w:val="009253CC"/>
    <w:rsid w:val="009311E6"/>
    <w:rsid w:val="00931717"/>
    <w:rsid w:val="00932027"/>
    <w:rsid w:val="00932B74"/>
    <w:rsid w:val="00933B11"/>
    <w:rsid w:val="00934FAE"/>
    <w:rsid w:val="0094216B"/>
    <w:rsid w:val="009440D5"/>
    <w:rsid w:val="00945A86"/>
    <w:rsid w:val="00947E4D"/>
    <w:rsid w:val="0096582A"/>
    <w:rsid w:val="00976B54"/>
    <w:rsid w:val="00980C2E"/>
    <w:rsid w:val="00982EEC"/>
    <w:rsid w:val="009900AF"/>
    <w:rsid w:val="009937E0"/>
    <w:rsid w:val="009946ED"/>
    <w:rsid w:val="00994F91"/>
    <w:rsid w:val="009A43BF"/>
    <w:rsid w:val="009A504E"/>
    <w:rsid w:val="009A5319"/>
    <w:rsid w:val="009B32C6"/>
    <w:rsid w:val="009D2F12"/>
    <w:rsid w:val="009D47DF"/>
    <w:rsid w:val="009E1B73"/>
    <w:rsid w:val="009E3FD6"/>
    <w:rsid w:val="009F017D"/>
    <w:rsid w:val="009F5C4B"/>
    <w:rsid w:val="009F7ED7"/>
    <w:rsid w:val="00A15B87"/>
    <w:rsid w:val="00A17DBB"/>
    <w:rsid w:val="00A21DFD"/>
    <w:rsid w:val="00A318BD"/>
    <w:rsid w:val="00A40476"/>
    <w:rsid w:val="00A413C3"/>
    <w:rsid w:val="00A46C5F"/>
    <w:rsid w:val="00A47E46"/>
    <w:rsid w:val="00A54936"/>
    <w:rsid w:val="00A63EEC"/>
    <w:rsid w:val="00A70A46"/>
    <w:rsid w:val="00A95FD8"/>
    <w:rsid w:val="00AA32AB"/>
    <w:rsid w:val="00AB2D10"/>
    <w:rsid w:val="00AB42D6"/>
    <w:rsid w:val="00AD2558"/>
    <w:rsid w:val="00AE2BEF"/>
    <w:rsid w:val="00AE55A2"/>
    <w:rsid w:val="00AF2462"/>
    <w:rsid w:val="00AF2EBB"/>
    <w:rsid w:val="00AF3135"/>
    <w:rsid w:val="00AF4E9A"/>
    <w:rsid w:val="00AF7A6D"/>
    <w:rsid w:val="00B04A38"/>
    <w:rsid w:val="00B0607D"/>
    <w:rsid w:val="00B11164"/>
    <w:rsid w:val="00B117E9"/>
    <w:rsid w:val="00B20426"/>
    <w:rsid w:val="00B20EEB"/>
    <w:rsid w:val="00B21A1D"/>
    <w:rsid w:val="00B24FBF"/>
    <w:rsid w:val="00B25B67"/>
    <w:rsid w:val="00B30975"/>
    <w:rsid w:val="00B35498"/>
    <w:rsid w:val="00B42320"/>
    <w:rsid w:val="00B43C3B"/>
    <w:rsid w:val="00B45198"/>
    <w:rsid w:val="00B46295"/>
    <w:rsid w:val="00B5586D"/>
    <w:rsid w:val="00B66435"/>
    <w:rsid w:val="00B9282F"/>
    <w:rsid w:val="00B94BAD"/>
    <w:rsid w:val="00BA12DB"/>
    <w:rsid w:val="00BA34A7"/>
    <w:rsid w:val="00BB3C97"/>
    <w:rsid w:val="00BC0EE1"/>
    <w:rsid w:val="00BC45E0"/>
    <w:rsid w:val="00BC6C0D"/>
    <w:rsid w:val="00BC6FEE"/>
    <w:rsid w:val="00BD316A"/>
    <w:rsid w:val="00BD71A6"/>
    <w:rsid w:val="00BD728B"/>
    <w:rsid w:val="00BE1A13"/>
    <w:rsid w:val="00BE26C3"/>
    <w:rsid w:val="00BE73CA"/>
    <w:rsid w:val="00BF130E"/>
    <w:rsid w:val="00BF4639"/>
    <w:rsid w:val="00BF6978"/>
    <w:rsid w:val="00C170B0"/>
    <w:rsid w:val="00C313C0"/>
    <w:rsid w:val="00C37481"/>
    <w:rsid w:val="00C4462E"/>
    <w:rsid w:val="00C4521C"/>
    <w:rsid w:val="00C47CFC"/>
    <w:rsid w:val="00C51F60"/>
    <w:rsid w:val="00C52DE6"/>
    <w:rsid w:val="00C53E73"/>
    <w:rsid w:val="00C544D9"/>
    <w:rsid w:val="00C55140"/>
    <w:rsid w:val="00C6089F"/>
    <w:rsid w:val="00C63538"/>
    <w:rsid w:val="00C65CFD"/>
    <w:rsid w:val="00C7161C"/>
    <w:rsid w:val="00C8602A"/>
    <w:rsid w:val="00C96446"/>
    <w:rsid w:val="00CA07EC"/>
    <w:rsid w:val="00CA6F1D"/>
    <w:rsid w:val="00CB0E79"/>
    <w:rsid w:val="00CB1654"/>
    <w:rsid w:val="00CB7A36"/>
    <w:rsid w:val="00CC1BCE"/>
    <w:rsid w:val="00CC2E18"/>
    <w:rsid w:val="00CC32FA"/>
    <w:rsid w:val="00CC62A0"/>
    <w:rsid w:val="00CD0617"/>
    <w:rsid w:val="00CD34D0"/>
    <w:rsid w:val="00CE0FAE"/>
    <w:rsid w:val="00CE3520"/>
    <w:rsid w:val="00CF3EF6"/>
    <w:rsid w:val="00CF4CAE"/>
    <w:rsid w:val="00CF7ED2"/>
    <w:rsid w:val="00D03406"/>
    <w:rsid w:val="00D03D2E"/>
    <w:rsid w:val="00D05872"/>
    <w:rsid w:val="00D070A0"/>
    <w:rsid w:val="00D239FA"/>
    <w:rsid w:val="00D27170"/>
    <w:rsid w:val="00D4741B"/>
    <w:rsid w:val="00D512EC"/>
    <w:rsid w:val="00D60C1E"/>
    <w:rsid w:val="00D67865"/>
    <w:rsid w:val="00D71847"/>
    <w:rsid w:val="00D74A68"/>
    <w:rsid w:val="00D84884"/>
    <w:rsid w:val="00D85499"/>
    <w:rsid w:val="00D85ADE"/>
    <w:rsid w:val="00D904AC"/>
    <w:rsid w:val="00DA431C"/>
    <w:rsid w:val="00DA5B1E"/>
    <w:rsid w:val="00DB034B"/>
    <w:rsid w:val="00DB08EB"/>
    <w:rsid w:val="00DB1B5B"/>
    <w:rsid w:val="00DB2F5E"/>
    <w:rsid w:val="00DC0AFF"/>
    <w:rsid w:val="00DD1572"/>
    <w:rsid w:val="00DD4518"/>
    <w:rsid w:val="00DE7C47"/>
    <w:rsid w:val="00DF7CDA"/>
    <w:rsid w:val="00DF8E8C"/>
    <w:rsid w:val="00E01895"/>
    <w:rsid w:val="00E0236C"/>
    <w:rsid w:val="00E03A49"/>
    <w:rsid w:val="00E10A5D"/>
    <w:rsid w:val="00E11BBA"/>
    <w:rsid w:val="00E171BB"/>
    <w:rsid w:val="00E277BC"/>
    <w:rsid w:val="00E27EC4"/>
    <w:rsid w:val="00E31094"/>
    <w:rsid w:val="00E36886"/>
    <w:rsid w:val="00E43709"/>
    <w:rsid w:val="00E4424D"/>
    <w:rsid w:val="00E4721D"/>
    <w:rsid w:val="00E70AA6"/>
    <w:rsid w:val="00E72CE5"/>
    <w:rsid w:val="00E73AC3"/>
    <w:rsid w:val="00E8072E"/>
    <w:rsid w:val="00E80808"/>
    <w:rsid w:val="00E85E89"/>
    <w:rsid w:val="00E95113"/>
    <w:rsid w:val="00E97769"/>
    <w:rsid w:val="00EA0A2D"/>
    <w:rsid w:val="00EA3665"/>
    <w:rsid w:val="00EA4DD0"/>
    <w:rsid w:val="00EA65C8"/>
    <w:rsid w:val="00EC4438"/>
    <w:rsid w:val="00EC5A24"/>
    <w:rsid w:val="00ED0218"/>
    <w:rsid w:val="00ED596B"/>
    <w:rsid w:val="00EE1561"/>
    <w:rsid w:val="00EE7C9A"/>
    <w:rsid w:val="00EF10FB"/>
    <w:rsid w:val="00F01400"/>
    <w:rsid w:val="00F07B51"/>
    <w:rsid w:val="00F07DF1"/>
    <w:rsid w:val="00F13A1B"/>
    <w:rsid w:val="00F15E1A"/>
    <w:rsid w:val="00F226CC"/>
    <w:rsid w:val="00F236F4"/>
    <w:rsid w:val="00F2646D"/>
    <w:rsid w:val="00F572A3"/>
    <w:rsid w:val="00F61BDB"/>
    <w:rsid w:val="00F63CA0"/>
    <w:rsid w:val="00F6500C"/>
    <w:rsid w:val="00F71798"/>
    <w:rsid w:val="00F72B73"/>
    <w:rsid w:val="00F81BF1"/>
    <w:rsid w:val="00F93A20"/>
    <w:rsid w:val="00FA6DBF"/>
    <w:rsid w:val="00FB2A40"/>
    <w:rsid w:val="00FB3C38"/>
    <w:rsid w:val="00FB625D"/>
    <w:rsid w:val="00FC0D7D"/>
    <w:rsid w:val="00FC603F"/>
    <w:rsid w:val="00FC647D"/>
    <w:rsid w:val="00FD3A85"/>
    <w:rsid w:val="00FE09EB"/>
    <w:rsid w:val="00FE0D12"/>
    <w:rsid w:val="00FE266A"/>
    <w:rsid w:val="00FF45B3"/>
    <w:rsid w:val="00FF5200"/>
    <w:rsid w:val="00FF5EBC"/>
    <w:rsid w:val="00FFEFF2"/>
    <w:rsid w:val="01679F0E"/>
    <w:rsid w:val="0174C96F"/>
    <w:rsid w:val="017E6475"/>
    <w:rsid w:val="01C99E8C"/>
    <w:rsid w:val="01D79B41"/>
    <w:rsid w:val="01D90446"/>
    <w:rsid w:val="0227C8A6"/>
    <w:rsid w:val="0235BA8D"/>
    <w:rsid w:val="02498FB2"/>
    <w:rsid w:val="0274E12A"/>
    <w:rsid w:val="028F82C0"/>
    <w:rsid w:val="02970AA4"/>
    <w:rsid w:val="02F3EEC5"/>
    <w:rsid w:val="030DB06B"/>
    <w:rsid w:val="03137C51"/>
    <w:rsid w:val="0363342E"/>
    <w:rsid w:val="0396D5FB"/>
    <w:rsid w:val="039FCDCF"/>
    <w:rsid w:val="03B8F62C"/>
    <w:rsid w:val="03D31874"/>
    <w:rsid w:val="03D912D2"/>
    <w:rsid w:val="03EED4EA"/>
    <w:rsid w:val="03F86152"/>
    <w:rsid w:val="04172F4E"/>
    <w:rsid w:val="04236696"/>
    <w:rsid w:val="0439A0DF"/>
    <w:rsid w:val="045E44F0"/>
    <w:rsid w:val="04987C24"/>
    <w:rsid w:val="04ABC821"/>
    <w:rsid w:val="04ADE196"/>
    <w:rsid w:val="04B4A987"/>
    <w:rsid w:val="04C09965"/>
    <w:rsid w:val="04D559C8"/>
    <w:rsid w:val="0511531A"/>
    <w:rsid w:val="053D0B12"/>
    <w:rsid w:val="05507207"/>
    <w:rsid w:val="058AD080"/>
    <w:rsid w:val="05A01A4D"/>
    <w:rsid w:val="05C57E30"/>
    <w:rsid w:val="05CBD931"/>
    <w:rsid w:val="061FF829"/>
    <w:rsid w:val="068C8732"/>
    <w:rsid w:val="0699842A"/>
    <w:rsid w:val="069D0FAF"/>
    <w:rsid w:val="06ACF66A"/>
    <w:rsid w:val="06C48517"/>
    <w:rsid w:val="06CD7A9E"/>
    <w:rsid w:val="06D76E91"/>
    <w:rsid w:val="06DD73EA"/>
    <w:rsid w:val="06E0ADF4"/>
    <w:rsid w:val="06E414A8"/>
    <w:rsid w:val="06F5D7A6"/>
    <w:rsid w:val="0716E1F6"/>
    <w:rsid w:val="07264910"/>
    <w:rsid w:val="07368B91"/>
    <w:rsid w:val="0761C4F3"/>
    <w:rsid w:val="0772FF7B"/>
    <w:rsid w:val="0791EA9E"/>
    <w:rsid w:val="07C76C23"/>
    <w:rsid w:val="07E1FFDE"/>
    <w:rsid w:val="07E2D16B"/>
    <w:rsid w:val="07F560AE"/>
    <w:rsid w:val="07FD8D73"/>
    <w:rsid w:val="07FF7848"/>
    <w:rsid w:val="0811C6E0"/>
    <w:rsid w:val="082F1D6D"/>
    <w:rsid w:val="082FE072"/>
    <w:rsid w:val="08694AFF"/>
    <w:rsid w:val="087E5783"/>
    <w:rsid w:val="08C0932F"/>
    <w:rsid w:val="08C2460D"/>
    <w:rsid w:val="08EC6B0E"/>
    <w:rsid w:val="09058A1E"/>
    <w:rsid w:val="0909980B"/>
    <w:rsid w:val="0918F113"/>
    <w:rsid w:val="092A2E2F"/>
    <w:rsid w:val="094CA2E4"/>
    <w:rsid w:val="09B98026"/>
    <w:rsid w:val="0A2808BC"/>
    <w:rsid w:val="0A2887D2"/>
    <w:rsid w:val="0A4034FA"/>
    <w:rsid w:val="0A9AF94C"/>
    <w:rsid w:val="0A9F8CD3"/>
    <w:rsid w:val="0AB97E7E"/>
    <w:rsid w:val="0AE7D15A"/>
    <w:rsid w:val="0AEF9FCE"/>
    <w:rsid w:val="0B0039FA"/>
    <w:rsid w:val="0B3DF585"/>
    <w:rsid w:val="0BA1E7E0"/>
    <w:rsid w:val="0BB9FAF2"/>
    <w:rsid w:val="0BE06611"/>
    <w:rsid w:val="0C0274D0"/>
    <w:rsid w:val="0C19A126"/>
    <w:rsid w:val="0C1E79FB"/>
    <w:rsid w:val="0C20CE26"/>
    <w:rsid w:val="0C2DAE32"/>
    <w:rsid w:val="0C5AABB4"/>
    <w:rsid w:val="0C708CE9"/>
    <w:rsid w:val="0CA234D3"/>
    <w:rsid w:val="0CB9C71F"/>
    <w:rsid w:val="0CD5B958"/>
    <w:rsid w:val="0CF8A188"/>
    <w:rsid w:val="0D1FAABD"/>
    <w:rsid w:val="0D474458"/>
    <w:rsid w:val="0D7034DF"/>
    <w:rsid w:val="0D71DB5E"/>
    <w:rsid w:val="0D7E9357"/>
    <w:rsid w:val="0E265666"/>
    <w:rsid w:val="0E61801A"/>
    <w:rsid w:val="0E6A041D"/>
    <w:rsid w:val="0E81FD8A"/>
    <w:rsid w:val="0E8AE11E"/>
    <w:rsid w:val="0E8EF937"/>
    <w:rsid w:val="0EA67709"/>
    <w:rsid w:val="0F0417BA"/>
    <w:rsid w:val="0F13B9FD"/>
    <w:rsid w:val="0F16DF27"/>
    <w:rsid w:val="0F9E9F2D"/>
    <w:rsid w:val="0FC34E46"/>
    <w:rsid w:val="0FD847C3"/>
    <w:rsid w:val="0FDA5B86"/>
    <w:rsid w:val="0FF4A0EB"/>
    <w:rsid w:val="1018AC3A"/>
    <w:rsid w:val="101A495A"/>
    <w:rsid w:val="10372308"/>
    <w:rsid w:val="105F4049"/>
    <w:rsid w:val="107372FD"/>
    <w:rsid w:val="108616AD"/>
    <w:rsid w:val="10E096E4"/>
    <w:rsid w:val="110A9E7E"/>
    <w:rsid w:val="1127C3E3"/>
    <w:rsid w:val="1140B96F"/>
    <w:rsid w:val="11471263"/>
    <w:rsid w:val="115F3EA1"/>
    <w:rsid w:val="117BFD6B"/>
    <w:rsid w:val="118BD16B"/>
    <w:rsid w:val="11C6EFEB"/>
    <w:rsid w:val="11CDF457"/>
    <w:rsid w:val="11D22F31"/>
    <w:rsid w:val="1208F182"/>
    <w:rsid w:val="12290307"/>
    <w:rsid w:val="1271FD49"/>
    <w:rsid w:val="12794152"/>
    <w:rsid w:val="12A7350B"/>
    <w:rsid w:val="12D528E4"/>
    <w:rsid w:val="13068A2B"/>
    <w:rsid w:val="130DE42B"/>
    <w:rsid w:val="1335A710"/>
    <w:rsid w:val="13371AB9"/>
    <w:rsid w:val="137BE06A"/>
    <w:rsid w:val="13BEDF1B"/>
    <w:rsid w:val="13D4DF4F"/>
    <w:rsid w:val="13F4A54D"/>
    <w:rsid w:val="140C5A0D"/>
    <w:rsid w:val="14694A69"/>
    <w:rsid w:val="146EA12D"/>
    <w:rsid w:val="147EE3AE"/>
    <w:rsid w:val="148F516E"/>
    <w:rsid w:val="14A2C7FD"/>
    <w:rsid w:val="14C425AF"/>
    <w:rsid w:val="14EADE1A"/>
    <w:rsid w:val="14F8BBA7"/>
    <w:rsid w:val="150CCA18"/>
    <w:rsid w:val="15613B41"/>
    <w:rsid w:val="15696C79"/>
    <w:rsid w:val="15A99E0B"/>
    <w:rsid w:val="15E1108A"/>
    <w:rsid w:val="162E93BB"/>
    <w:rsid w:val="163FF924"/>
    <w:rsid w:val="164584ED"/>
    <w:rsid w:val="1694FB01"/>
    <w:rsid w:val="16C1FD8D"/>
    <w:rsid w:val="16DCBB6B"/>
    <w:rsid w:val="16E47ABD"/>
    <w:rsid w:val="16F71755"/>
    <w:rsid w:val="16FE6C68"/>
    <w:rsid w:val="1704E621"/>
    <w:rsid w:val="1717972E"/>
    <w:rsid w:val="172B69EA"/>
    <w:rsid w:val="172E440E"/>
    <w:rsid w:val="174EE74A"/>
    <w:rsid w:val="1753B903"/>
    <w:rsid w:val="17715CF8"/>
    <w:rsid w:val="17AD575D"/>
    <w:rsid w:val="17E1554E"/>
    <w:rsid w:val="17E1592B"/>
    <w:rsid w:val="17E7E4F0"/>
    <w:rsid w:val="182F4103"/>
    <w:rsid w:val="18848C30"/>
    <w:rsid w:val="1888F18F"/>
    <w:rsid w:val="18BE51A1"/>
    <w:rsid w:val="18CB8B53"/>
    <w:rsid w:val="18DBAF27"/>
    <w:rsid w:val="18EB4F23"/>
    <w:rsid w:val="18F03CB9"/>
    <w:rsid w:val="18FDE34C"/>
    <w:rsid w:val="1906E6F4"/>
    <w:rsid w:val="1924E315"/>
    <w:rsid w:val="1928BE2E"/>
    <w:rsid w:val="196DB51D"/>
    <w:rsid w:val="198D04F4"/>
    <w:rsid w:val="1997A976"/>
    <w:rsid w:val="19E3C6CA"/>
    <w:rsid w:val="1A0D77A2"/>
    <w:rsid w:val="1A1E1175"/>
    <w:rsid w:val="1A2C9D68"/>
    <w:rsid w:val="1A2D2480"/>
    <w:rsid w:val="1A8ADA4D"/>
    <w:rsid w:val="1A8FDD9C"/>
    <w:rsid w:val="1AA23A0E"/>
    <w:rsid w:val="1ABA337B"/>
    <w:rsid w:val="1ACA574F"/>
    <w:rsid w:val="1B104048"/>
    <w:rsid w:val="1B1723D7"/>
    <w:rsid w:val="1B8751E0"/>
    <w:rsid w:val="1BBD9DAE"/>
    <w:rsid w:val="1BE64B23"/>
    <w:rsid w:val="1BF148D4"/>
    <w:rsid w:val="1C1AD089"/>
    <w:rsid w:val="1C2450AB"/>
    <w:rsid w:val="1C2C5961"/>
    <w:rsid w:val="1C31598D"/>
    <w:rsid w:val="1C59A13C"/>
    <w:rsid w:val="1C5F3744"/>
    <w:rsid w:val="1C91AA21"/>
    <w:rsid w:val="1CA42E33"/>
    <w:rsid w:val="1CAEAB6F"/>
    <w:rsid w:val="1CE234B6"/>
    <w:rsid w:val="1D03E12A"/>
    <w:rsid w:val="1D41A515"/>
    <w:rsid w:val="1D5BB95E"/>
    <w:rsid w:val="1D977492"/>
    <w:rsid w:val="1DB0AC9D"/>
    <w:rsid w:val="1DCE6ECA"/>
    <w:rsid w:val="1DD7F35E"/>
    <w:rsid w:val="1DE09966"/>
    <w:rsid w:val="1E138E03"/>
    <w:rsid w:val="1E48C060"/>
    <w:rsid w:val="1E4E2D21"/>
    <w:rsid w:val="1E68F261"/>
    <w:rsid w:val="1E9EC818"/>
    <w:rsid w:val="1EBAA295"/>
    <w:rsid w:val="1F0F4808"/>
    <w:rsid w:val="1F1A874E"/>
    <w:rsid w:val="1F23DA80"/>
    <w:rsid w:val="1F60E99B"/>
    <w:rsid w:val="1F6E234D"/>
    <w:rsid w:val="1F8A50B0"/>
    <w:rsid w:val="1F96408E"/>
    <w:rsid w:val="1FA845AE"/>
    <w:rsid w:val="1FE30D16"/>
    <w:rsid w:val="201CF562"/>
    <w:rsid w:val="201DB99A"/>
    <w:rsid w:val="2075E30F"/>
    <w:rsid w:val="20B6519E"/>
    <w:rsid w:val="20C1875B"/>
    <w:rsid w:val="20C90CF1"/>
    <w:rsid w:val="20F039EA"/>
    <w:rsid w:val="213AC07F"/>
    <w:rsid w:val="2149AAB7"/>
    <w:rsid w:val="21622E5B"/>
    <w:rsid w:val="2176D6AC"/>
    <w:rsid w:val="21776C85"/>
    <w:rsid w:val="217FB76E"/>
    <w:rsid w:val="219D14F4"/>
    <w:rsid w:val="21A6292B"/>
    <w:rsid w:val="221A9905"/>
    <w:rsid w:val="22376C1C"/>
    <w:rsid w:val="22509479"/>
    <w:rsid w:val="227C95DC"/>
    <w:rsid w:val="233AD64F"/>
    <w:rsid w:val="234ECE97"/>
    <w:rsid w:val="2352E90D"/>
    <w:rsid w:val="2358F572"/>
    <w:rsid w:val="236438CC"/>
    <w:rsid w:val="23CD7B01"/>
    <w:rsid w:val="23D101C0"/>
    <w:rsid w:val="241271F0"/>
    <w:rsid w:val="241D32DE"/>
    <w:rsid w:val="24224A0D"/>
    <w:rsid w:val="245864FE"/>
    <w:rsid w:val="246A752D"/>
    <w:rsid w:val="24836A42"/>
    <w:rsid w:val="24872F52"/>
    <w:rsid w:val="24A3E7B2"/>
    <w:rsid w:val="24C7EA71"/>
    <w:rsid w:val="24D07A7C"/>
    <w:rsid w:val="24E5B678"/>
    <w:rsid w:val="24E6FF6A"/>
    <w:rsid w:val="2514AD33"/>
    <w:rsid w:val="251C4C0B"/>
    <w:rsid w:val="253C1B0F"/>
    <w:rsid w:val="2560948E"/>
    <w:rsid w:val="25BFBA3F"/>
    <w:rsid w:val="25C546F7"/>
    <w:rsid w:val="25D05DF0"/>
    <w:rsid w:val="2606A9BE"/>
    <w:rsid w:val="262303E1"/>
    <w:rsid w:val="264D2E33"/>
    <w:rsid w:val="26659258"/>
    <w:rsid w:val="2682CFCB"/>
    <w:rsid w:val="26AA5160"/>
    <w:rsid w:val="26AF198B"/>
    <w:rsid w:val="26BF8D5C"/>
    <w:rsid w:val="26DB0D88"/>
    <w:rsid w:val="26EAEB01"/>
    <w:rsid w:val="27234E2A"/>
    <w:rsid w:val="2724059C"/>
    <w:rsid w:val="273052DD"/>
    <w:rsid w:val="275034F8"/>
    <w:rsid w:val="27803647"/>
    <w:rsid w:val="27B05AF7"/>
    <w:rsid w:val="27C381A1"/>
    <w:rsid w:val="27D74C9D"/>
    <w:rsid w:val="27F18C56"/>
    <w:rsid w:val="281D2CA8"/>
    <w:rsid w:val="28276FCF"/>
    <w:rsid w:val="28395702"/>
    <w:rsid w:val="283BC373"/>
    <w:rsid w:val="28543A80"/>
    <w:rsid w:val="28A2880E"/>
    <w:rsid w:val="28BD887D"/>
    <w:rsid w:val="28F23054"/>
    <w:rsid w:val="28F8BC19"/>
    <w:rsid w:val="2925B99B"/>
    <w:rsid w:val="29372743"/>
    <w:rsid w:val="294AECBA"/>
    <w:rsid w:val="2978F4BF"/>
    <w:rsid w:val="297C6AF5"/>
    <w:rsid w:val="29AB4657"/>
    <w:rsid w:val="29B99481"/>
    <w:rsid w:val="29BFBB54"/>
    <w:rsid w:val="29DE9D39"/>
    <w:rsid w:val="29F792C5"/>
    <w:rsid w:val="29FC264C"/>
    <w:rsid w:val="2A42D340"/>
    <w:rsid w:val="2A7D80B7"/>
    <w:rsid w:val="2A7DC941"/>
    <w:rsid w:val="2AC75BDD"/>
    <w:rsid w:val="2AFF907F"/>
    <w:rsid w:val="2B2B9AB7"/>
    <w:rsid w:val="2B464CDB"/>
    <w:rsid w:val="2B601503"/>
    <w:rsid w:val="2B66B2BD"/>
    <w:rsid w:val="2B949A69"/>
    <w:rsid w:val="2BE4F861"/>
    <w:rsid w:val="2BEACE74"/>
    <w:rsid w:val="2BF80826"/>
    <w:rsid w:val="2C048838"/>
    <w:rsid w:val="2C166098"/>
    <w:rsid w:val="2C3851A5"/>
    <w:rsid w:val="2C4390EB"/>
    <w:rsid w:val="2C53955E"/>
    <w:rsid w:val="2C7C4436"/>
    <w:rsid w:val="2C7E2E52"/>
    <w:rsid w:val="2C99A1BC"/>
    <w:rsid w:val="2CA7D65A"/>
    <w:rsid w:val="2D0BE3E2"/>
    <w:rsid w:val="2D2023BF"/>
    <w:rsid w:val="2D654D7F"/>
    <w:rsid w:val="2DA00147"/>
    <w:rsid w:val="2DD1DF0A"/>
    <w:rsid w:val="2DEB1715"/>
    <w:rsid w:val="2DEC801A"/>
    <w:rsid w:val="2E44D81C"/>
    <w:rsid w:val="2E4B8BD2"/>
    <w:rsid w:val="2E5020BC"/>
    <w:rsid w:val="2E6DF345"/>
    <w:rsid w:val="2E7DF5DC"/>
    <w:rsid w:val="2EAA8678"/>
    <w:rsid w:val="2EB3B8E7"/>
    <w:rsid w:val="2EC66381"/>
    <w:rsid w:val="2ED97D33"/>
    <w:rsid w:val="2EDEC92C"/>
    <w:rsid w:val="2EE20136"/>
    <w:rsid w:val="2EFFE80D"/>
    <w:rsid w:val="2F070C1C"/>
    <w:rsid w:val="2F0A1682"/>
    <w:rsid w:val="2F0EFEB8"/>
    <w:rsid w:val="2F182286"/>
    <w:rsid w:val="2F327C18"/>
    <w:rsid w:val="2F76E2D3"/>
    <w:rsid w:val="2F7FC439"/>
    <w:rsid w:val="2FE85852"/>
    <w:rsid w:val="3043B926"/>
    <w:rsid w:val="305465B2"/>
    <w:rsid w:val="30611FCC"/>
    <w:rsid w:val="309213A2"/>
    <w:rsid w:val="309C23F8"/>
    <w:rsid w:val="30A1E66F"/>
    <w:rsid w:val="30B8797B"/>
    <w:rsid w:val="311DC65A"/>
    <w:rsid w:val="31B49240"/>
    <w:rsid w:val="31D41391"/>
    <w:rsid w:val="31E093A3"/>
    <w:rsid w:val="31F42649"/>
    <w:rsid w:val="3202FDE1"/>
    <w:rsid w:val="3218D299"/>
    <w:rsid w:val="322E0E95"/>
    <w:rsid w:val="3273726A"/>
    <w:rsid w:val="32936717"/>
    <w:rsid w:val="329DC849"/>
    <w:rsid w:val="32BC063D"/>
    <w:rsid w:val="32FE2CE9"/>
    <w:rsid w:val="334FC35A"/>
    <w:rsid w:val="336100EA"/>
    <w:rsid w:val="3395F108"/>
    <w:rsid w:val="33964EDE"/>
    <w:rsid w:val="33B15650"/>
    <w:rsid w:val="3407E579"/>
    <w:rsid w:val="3428DA67"/>
    <w:rsid w:val="346C3807"/>
    <w:rsid w:val="34839775"/>
    <w:rsid w:val="34BBC975"/>
    <w:rsid w:val="34CD3030"/>
    <w:rsid w:val="34D42789"/>
    <w:rsid w:val="34DDE772"/>
    <w:rsid w:val="34F3FE17"/>
    <w:rsid w:val="350AE4F4"/>
    <w:rsid w:val="351905F2"/>
    <w:rsid w:val="35244538"/>
    <w:rsid w:val="353AD7CE"/>
    <w:rsid w:val="359ACD30"/>
    <w:rsid w:val="359B1713"/>
    <w:rsid w:val="35A8F102"/>
    <w:rsid w:val="35D7AC07"/>
    <w:rsid w:val="35DAEF56"/>
    <w:rsid w:val="35F722D1"/>
    <w:rsid w:val="361DDBF9"/>
    <w:rsid w:val="364E4DE8"/>
    <w:rsid w:val="36A26548"/>
    <w:rsid w:val="36D97A64"/>
    <w:rsid w:val="3726F556"/>
    <w:rsid w:val="3734DE6D"/>
    <w:rsid w:val="3768605F"/>
    <w:rsid w:val="377E82CC"/>
    <w:rsid w:val="37812A6F"/>
    <w:rsid w:val="37A36703"/>
    <w:rsid w:val="37AFE715"/>
    <w:rsid w:val="37D06485"/>
    <w:rsid w:val="37D945BB"/>
    <w:rsid w:val="37DDE7AC"/>
    <w:rsid w:val="37F4DE04"/>
    <w:rsid w:val="38102B5F"/>
    <w:rsid w:val="3818A969"/>
    <w:rsid w:val="381AEB1A"/>
    <w:rsid w:val="383CB17C"/>
    <w:rsid w:val="385A1BB5"/>
    <w:rsid w:val="386147DE"/>
    <w:rsid w:val="3881ECFF"/>
    <w:rsid w:val="38B35148"/>
    <w:rsid w:val="38BECAA3"/>
    <w:rsid w:val="38EB5D6D"/>
    <w:rsid w:val="38F84837"/>
    <w:rsid w:val="38FB377E"/>
    <w:rsid w:val="39449439"/>
    <w:rsid w:val="3976123B"/>
    <w:rsid w:val="397D3DE7"/>
    <w:rsid w:val="398E3E79"/>
    <w:rsid w:val="3A26F0C8"/>
    <w:rsid w:val="3A2BD109"/>
    <w:rsid w:val="3A3004FF"/>
    <w:rsid w:val="3A50826F"/>
    <w:rsid w:val="3A5D8191"/>
    <w:rsid w:val="3A687BDC"/>
    <w:rsid w:val="3A95795E"/>
    <w:rsid w:val="3AAFCCCD"/>
    <w:rsid w:val="3ACBEC24"/>
    <w:rsid w:val="3ACEDF06"/>
    <w:rsid w:val="3ADA54E0"/>
    <w:rsid w:val="3AE85964"/>
    <w:rsid w:val="3B023DBA"/>
    <w:rsid w:val="3B26EF20"/>
    <w:rsid w:val="3B336F32"/>
    <w:rsid w:val="3B414180"/>
    <w:rsid w:val="3B7EF1E6"/>
    <w:rsid w:val="3B83D134"/>
    <w:rsid w:val="3BBD7CDA"/>
    <w:rsid w:val="3BCF04E1"/>
    <w:rsid w:val="3BE71152"/>
    <w:rsid w:val="3C1DA15A"/>
    <w:rsid w:val="3C33C9F0"/>
    <w:rsid w:val="3C4252C0"/>
    <w:rsid w:val="3C7AD435"/>
    <w:rsid w:val="3C8ADB4C"/>
    <w:rsid w:val="3C999281"/>
    <w:rsid w:val="3CA43539"/>
    <w:rsid w:val="3CB40F4A"/>
    <w:rsid w:val="3CFDE46A"/>
    <w:rsid w:val="3D2A04E0"/>
    <w:rsid w:val="3D3B3FB7"/>
    <w:rsid w:val="3D4DD63E"/>
    <w:rsid w:val="3DB746AC"/>
    <w:rsid w:val="3DDD87CC"/>
    <w:rsid w:val="3DE5AB05"/>
    <w:rsid w:val="3E26EA92"/>
    <w:rsid w:val="3EC37FA0"/>
    <w:rsid w:val="3ED2AD35"/>
    <w:rsid w:val="3EF7BA48"/>
    <w:rsid w:val="3F0FB3B5"/>
    <w:rsid w:val="3F14E182"/>
    <w:rsid w:val="3F27AD22"/>
    <w:rsid w:val="3F2F7785"/>
    <w:rsid w:val="3F38C5C6"/>
    <w:rsid w:val="3F6CE690"/>
    <w:rsid w:val="3F6E424E"/>
    <w:rsid w:val="3F7666B2"/>
    <w:rsid w:val="3FACA6C7"/>
    <w:rsid w:val="400FE2D7"/>
    <w:rsid w:val="40131DE8"/>
    <w:rsid w:val="409AEAAB"/>
    <w:rsid w:val="41094E69"/>
    <w:rsid w:val="4135756A"/>
    <w:rsid w:val="413EA55C"/>
    <w:rsid w:val="414E4558"/>
    <w:rsid w:val="41503D96"/>
    <w:rsid w:val="41596164"/>
    <w:rsid w:val="415B4C39"/>
    <w:rsid w:val="4165A40A"/>
    <w:rsid w:val="4182AAC4"/>
    <w:rsid w:val="418AF15E"/>
    <w:rsid w:val="418BB463"/>
    <w:rsid w:val="41A88509"/>
    <w:rsid w:val="41D92F55"/>
    <w:rsid w:val="4226AA47"/>
    <w:rsid w:val="4231BD96"/>
    <w:rsid w:val="425CBE2E"/>
    <w:rsid w:val="425EF8EB"/>
    <w:rsid w:val="426C9D55"/>
    <w:rsid w:val="42976FC8"/>
    <w:rsid w:val="42C03954"/>
    <w:rsid w:val="42E3254D"/>
    <w:rsid w:val="42E85695"/>
    <w:rsid w:val="42ED9C78"/>
    <w:rsid w:val="4329E1A9"/>
    <w:rsid w:val="4364C842"/>
    <w:rsid w:val="437DC866"/>
    <w:rsid w:val="438368E6"/>
    <w:rsid w:val="43A9BF31"/>
    <w:rsid w:val="43EABD65"/>
    <w:rsid w:val="43F63E04"/>
    <w:rsid w:val="43F6CD3D"/>
    <w:rsid w:val="43FDC5E8"/>
    <w:rsid w:val="4415526F"/>
    <w:rsid w:val="4427540D"/>
    <w:rsid w:val="44291588"/>
    <w:rsid w:val="444D8616"/>
    <w:rsid w:val="4459DEA6"/>
    <w:rsid w:val="4477E86A"/>
    <w:rsid w:val="447C7BE1"/>
    <w:rsid w:val="449E442E"/>
    <w:rsid w:val="44CBD317"/>
    <w:rsid w:val="44E05C69"/>
    <w:rsid w:val="44E353FA"/>
    <w:rsid w:val="44F83F32"/>
    <w:rsid w:val="451998C7"/>
    <w:rsid w:val="4519B8C1"/>
    <w:rsid w:val="45224D14"/>
    <w:rsid w:val="4532C124"/>
    <w:rsid w:val="45548BD0"/>
    <w:rsid w:val="45BD0B6A"/>
    <w:rsid w:val="45C22BD1"/>
    <w:rsid w:val="45DA3E49"/>
    <w:rsid w:val="4613B8CB"/>
    <w:rsid w:val="462C985E"/>
    <w:rsid w:val="46539924"/>
    <w:rsid w:val="4670BEF3"/>
    <w:rsid w:val="470764CA"/>
    <w:rsid w:val="471F5E37"/>
    <w:rsid w:val="472612C6"/>
    <w:rsid w:val="473C5716"/>
    <w:rsid w:val="476F48E5"/>
    <w:rsid w:val="477EE8E1"/>
    <w:rsid w:val="47905689"/>
    <w:rsid w:val="47C5D80E"/>
    <w:rsid w:val="47EF71F4"/>
    <w:rsid w:val="47EFFC92"/>
    <w:rsid w:val="48513989"/>
    <w:rsid w:val="4866C33A"/>
    <w:rsid w:val="4878AC7D"/>
    <w:rsid w:val="48A9C0F0"/>
    <w:rsid w:val="48C2B67C"/>
    <w:rsid w:val="48EB659E"/>
    <w:rsid w:val="48EDBBC0"/>
    <w:rsid w:val="49011C90"/>
    <w:rsid w:val="494C978E"/>
    <w:rsid w:val="49542C3E"/>
    <w:rsid w:val="497EFEB1"/>
    <w:rsid w:val="49AF245C"/>
    <w:rsid w:val="49E5A200"/>
    <w:rsid w:val="4A07603C"/>
    <w:rsid w:val="4A147CDE"/>
    <w:rsid w:val="4A1AC731"/>
    <w:rsid w:val="4A52416B"/>
    <w:rsid w:val="4A65D47C"/>
    <w:rsid w:val="4A66C011"/>
    <w:rsid w:val="4A6963AA"/>
    <w:rsid w:val="4A8397D4"/>
    <w:rsid w:val="4A8482B9"/>
    <w:rsid w:val="4A962E5B"/>
    <w:rsid w:val="4AA6E263"/>
    <w:rsid w:val="4ADB67C9"/>
    <w:rsid w:val="4B150D96"/>
    <w:rsid w:val="4B7985D6"/>
    <w:rsid w:val="4BB04D3F"/>
    <w:rsid w:val="4BEB4776"/>
    <w:rsid w:val="4BF688EA"/>
    <w:rsid w:val="4C046FD3"/>
    <w:rsid w:val="4C0A5085"/>
    <w:rsid w:val="4C27AE39"/>
    <w:rsid w:val="4C7C044A"/>
    <w:rsid w:val="4C95A4E9"/>
    <w:rsid w:val="4CB63ACC"/>
    <w:rsid w:val="4D213ED1"/>
    <w:rsid w:val="4D933342"/>
    <w:rsid w:val="4D9D753E"/>
    <w:rsid w:val="4DBC9446"/>
    <w:rsid w:val="4DC4E673"/>
    <w:rsid w:val="4DDA226F"/>
    <w:rsid w:val="4E05F101"/>
    <w:rsid w:val="4E51A686"/>
    <w:rsid w:val="4E68DCEE"/>
    <w:rsid w:val="4E6B9831"/>
    <w:rsid w:val="4E85FA16"/>
    <w:rsid w:val="4ED4F17B"/>
    <w:rsid w:val="4EF483DF"/>
    <w:rsid w:val="4F0A8A24"/>
    <w:rsid w:val="4F0F0A59"/>
    <w:rsid w:val="4F151E24"/>
    <w:rsid w:val="4F35E108"/>
    <w:rsid w:val="4F536A1B"/>
    <w:rsid w:val="4F9BCD15"/>
    <w:rsid w:val="4FAD7574"/>
    <w:rsid w:val="4FEBB7C3"/>
    <w:rsid w:val="4FF0CEF2"/>
    <w:rsid w:val="5014CBCA"/>
    <w:rsid w:val="5024B8C3"/>
    <w:rsid w:val="506581CD"/>
    <w:rsid w:val="506BE0D2"/>
    <w:rsid w:val="50A4AB11"/>
    <w:rsid w:val="50AABB3B"/>
    <w:rsid w:val="50B0D7C1"/>
    <w:rsid w:val="50B934B9"/>
    <w:rsid w:val="50CCC9FA"/>
    <w:rsid w:val="50EF3A7C"/>
    <w:rsid w:val="5111C0E9"/>
    <w:rsid w:val="511AD996"/>
    <w:rsid w:val="5123F511"/>
    <w:rsid w:val="5132FA90"/>
    <w:rsid w:val="513D2D1C"/>
    <w:rsid w:val="513E9621"/>
    <w:rsid w:val="513F255A"/>
    <w:rsid w:val="51566B72"/>
    <w:rsid w:val="5193CBDC"/>
    <w:rsid w:val="51A27A2F"/>
    <w:rsid w:val="52059F01"/>
    <w:rsid w:val="52191100"/>
    <w:rsid w:val="521A2592"/>
    <w:rsid w:val="5256D198"/>
    <w:rsid w:val="525890BC"/>
    <w:rsid w:val="526A388D"/>
    <w:rsid w:val="52E5D288"/>
    <w:rsid w:val="5302FC0A"/>
    <w:rsid w:val="530DEFC9"/>
    <w:rsid w:val="531D7CBE"/>
    <w:rsid w:val="53378170"/>
    <w:rsid w:val="53500C44"/>
    <w:rsid w:val="53513C87"/>
    <w:rsid w:val="53516AAF"/>
    <w:rsid w:val="535BFAEF"/>
    <w:rsid w:val="539CCD96"/>
    <w:rsid w:val="53E18206"/>
    <w:rsid w:val="540BF98F"/>
    <w:rsid w:val="540CB6C2"/>
    <w:rsid w:val="54144104"/>
    <w:rsid w:val="542FD312"/>
    <w:rsid w:val="5430A87C"/>
    <w:rsid w:val="54383060"/>
    <w:rsid w:val="547D274F"/>
    <w:rsid w:val="554779A4"/>
    <w:rsid w:val="55542339"/>
    <w:rsid w:val="556CAF08"/>
    <w:rsid w:val="5579099E"/>
    <w:rsid w:val="5580249C"/>
    <w:rsid w:val="5582E20D"/>
    <w:rsid w:val="558B333F"/>
    <w:rsid w:val="55AF1B57"/>
    <w:rsid w:val="55E0DE36"/>
    <w:rsid w:val="55EFDE50"/>
    <w:rsid w:val="55F2190D"/>
    <w:rsid w:val="5604AF94"/>
    <w:rsid w:val="5656914D"/>
    <w:rsid w:val="567AE0AE"/>
    <w:rsid w:val="569CF2A7"/>
    <w:rsid w:val="56F34883"/>
    <w:rsid w:val="5759FB80"/>
    <w:rsid w:val="57890B18"/>
    <w:rsid w:val="5794E219"/>
    <w:rsid w:val="57E12E1B"/>
    <w:rsid w:val="580D7AD5"/>
    <w:rsid w:val="58398BFF"/>
    <w:rsid w:val="585CFAFB"/>
    <w:rsid w:val="58765B3F"/>
    <w:rsid w:val="588CEDD5"/>
    <w:rsid w:val="58C9F73E"/>
    <w:rsid w:val="59769281"/>
    <w:rsid w:val="59932A3D"/>
    <w:rsid w:val="599BB67F"/>
    <w:rsid w:val="59A5C6D5"/>
    <w:rsid w:val="59F07F40"/>
    <w:rsid w:val="5A437B7B"/>
    <w:rsid w:val="5A7AFE85"/>
    <w:rsid w:val="5A83BBB7"/>
    <w:rsid w:val="5A8C0BA3"/>
    <w:rsid w:val="5AA07A34"/>
    <w:rsid w:val="5AA93108"/>
    <w:rsid w:val="5AC0AF12"/>
    <w:rsid w:val="5B21BE4C"/>
    <w:rsid w:val="5B2376AB"/>
    <w:rsid w:val="5B70A6CE"/>
    <w:rsid w:val="5B9137DA"/>
    <w:rsid w:val="5BAA4267"/>
    <w:rsid w:val="5BD40306"/>
    <w:rsid w:val="5BF0F4A1"/>
    <w:rsid w:val="5C05674F"/>
    <w:rsid w:val="5C2679EF"/>
    <w:rsid w:val="5C33ABEA"/>
    <w:rsid w:val="5C6AA8DD"/>
    <w:rsid w:val="5C7EFCA3"/>
    <w:rsid w:val="5C8DC8DA"/>
    <w:rsid w:val="5CAD175A"/>
    <w:rsid w:val="5D080EDB"/>
    <w:rsid w:val="5D2F66DF"/>
    <w:rsid w:val="5D3E8D1C"/>
    <w:rsid w:val="5D799703"/>
    <w:rsid w:val="5DFFBBA3"/>
    <w:rsid w:val="5E877D77"/>
    <w:rsid w:val="5EB1441D"/>
    <w:rsid w:val="5EB6D42C"/>
    <w:rsid w:val="5EC0B62E"/>
    <w:rsid w:val="5EC6C9BF"/>
    <w:rsid w:val="5ED1AD07"/>
    <w:rsid w:val="5EE1BBFC"/>
    <w:rsid w:val="5EEDE115"/>
    <w:rsid w:val="5EF779AA"/>
    <w:rsid w:val="5F32DE0A"/>
    <w:rsid w:val="5F52DDB3"/>
    <w:rsid w:val="5F627DAF"/>
    <w:rsid w:val="5F7ED7D2"/>
    <w:rsid w:val="5FA96CDC"/>
    <w:rsid w:val="5FB1396D"/>
    <w:rsid w:val="5FD8AC61"/>
    <w:rsid w:val="5FE39542"/>
    <w:rsid w:val="5FEBA888"/>
    <w:rsid w:val="5FEF5FEA"/>
    <w:rsid w:val="6001E720"/>
    <w:rsid w:val="601B41C6"/>
    <w:rsid w:val="606908FF"/>
    <w:rsid w:val="608D55BE"/>
    <w:rsid w:val="6093FD76"/>
    <w:rsid w:val="609FEC45"/>
    <w:rsid w:val="60ACA43E"/>
    <w:rsid w:val="60E525B3"/>
    <w:rsid w:val="60F1CDFE"/>
    <w:rsid w:val="60F7E4B9"/>
    <w:rsid w:val="611E60C8"/>
    <w:rsid w:val="6137C10C"/>
    <w:rsid w:val="613C5493"/>
    <w:rsid w:val="6146661C"/>
    <w:rsid w:val="61C936CE"/>
    <w:rsid w:val="61E8F0B0"/>
    <w:rsid w:val="61EB27DB"/>
    <w:rsid w:val="61FDDAA3"/>
    <w:rsid w:val="623919B7"/>
    <w:rsid w:val="624186A3"/>
    <w:rsid w:val="6254900A"/>
    <w:rsid w:val="62568848"/>
    <w:rsid w:val="627ACED5"/>
    <w:rsid w:val="629C7B56"/>
    <w:rsid w:val="62B378A4"/>
    <w:rsid w:val="62BEFC97"/>
    <w:rsid w:val="62BFF8B6"/>
    <w:rsid w:val="62C87CB9"/>
    <w:rsid w:val="62D1F17A"/>
    <w:rsid w:val="62DA9930"/>
    <w:rsid w:val="62E3D378"/>
    <w:rsid w:val="62E605CC"/>
    <w:rsid w:val="6357FA3D"/>
    <w:rsid w:val="63C1A831"/>
    <w:rsid w:val="63FA5D23"/>
    <w:rsid w:val="63FA8058"/>
    <w:rsid w:val="640FAEEB"/>
    <w:rsid w:val="6423A733"/>
    <w:rsid w:val="6423DE21"/>
    <w:rsid w:val="642A5D04"/>
    <w:rsid w:val="64310217"/>
    <w:rsid w:val="6467226E"/>
    <w:rsid w:val="64AD6240"/>
    <w:rsid w:val="64B7BA11"/>
    <w:rsid w:val="64BB4929"/>
    <w:rsid w:val="64D4E174"/>
    <w:rsid w:val="64F06E5A"/>
    <w:rsid w:val="64F580A3"/>
    <w:rsid w:val="6523FCE3"/>
    <w:rsid w:val="6531D121"/>
    <w:rsid w:val="653760C7"/>
    <w:rsid w:val="65415867"/>
    <w:rsid w:val="6578C04E"/>
    <w:rsid w:val="65BAFBFA"/>
    <w:rsid w:val="65BC6FC4"/>
    <w:rsid w:val="65E985CF"/>
    <w:rsid w:val="65FDA608"/>
    <w:rsid w:val="66259B58"/>
    <w:rsid w:val="66273E6C"/>
    <w:rsid w:val="66353B54"/>
    <w:rsid w:val="664B0697"/>
    <w:rsid w:val="66707E55"/>
    <w:rsid w:val="66873924"/>
    <w:rsid w:val="66D687E4"/>
    <w:rsid w:val="66DB24F7"/>
    <w:rsid w:val="66EE1EF2"/>
    <w:rsid w:val="6748E344"/>
    <w:rsid w:val="677F61E3"/>
    <w:rsid w:val="679C5AC2"/>
    <w:rsid w:val="679D89C6"/>
    <w:rsid w:val="67D9C9CD"/>
    <w:rsid w:val="67E151B1"/>
    <w:rsid w:val="67E30AC4"/>
    <w:rsid w:val="67FDD666"/>
    <w:rsid w:val="6801141A"/>
    <w:rsid w:val="683753F8"/>
    <w:rsid w:val="686B67D9"/>
    <w:rsid w:val="689FE5E3"/>
    <w:rsid w:val="68B49639"/>
    <w:rsid w:val="68B5593E"/>
    <w:rsid w:val="68E6ACDE"/>
    <w:rsid w:val="68EC5032"/>
    <w:rsid w:val="68F6C848"/>
    <w:rsid w:val="6922BA28"/>
    <w:rsid w:val="696E3CDC"/>
    <w:rsid w:val="696FA15C"/>
    <w:rsid w:val="6983A350"/>
    <w:rsid w:val="6992B65B"/>
    <w:rsid w:val="69C2D4FA"/>
    <w:rsid w:val="69C3BF0E"/>
    <w:rsid w:val="69DF025D"/>
    <w:rsid w:val="69E0314D"/>
    <w:rsid w:val="69E2447B"/>
    <w:rsid w:val="69E38153"/>
    <w:rsid w:val="69EDE793"/>
    <w:rsid w:val="69EE1A64"/>
    <w:rsid w:val="69FDBA60"/>
    <w:rsid w:val="69FFB29E"/>
    <w:rsid w:val="6A1B17E6"/>
    <w:rsid w:val="6A37BEC3"/>
    <w:rsid w:val="6A7E9E9F"/>
    <w:rsid w:val="6A8A9C9B"/>
    <w:rsid w:val="6AB363C9"/>
    <w:rsid w:val="6AE26C90"/>
    <w:rsid w:val="6AFBFC25"/>
    <w:rsid w:val="6B01B733"/>
    <w:rsid w:val="6B096AED"/>
    <w:rsid w:val="6B0F6A12"/>
    <w:rsid w:val="6B11C7F2"/>
    <w:rsid w:val="6B17EE15"/>
    <w:rsid w:val="6B29D066"/>
    <w:rsid w:val="6B47AC9E"/>
    <w:rsid w:val="6B47E0EF"/>
    <w:rsid w:val="6B650E67"/>
    <w:rsid w:val="6B6AB6A9"/>
    <w:rsid w:val="6B8FD2F6"/>
    <w:rsid w:val="6BF99C3A"/>
    <w:rsid w:val="6C35D9F7"/>
    <w:rsid w:val="6C3E9329"/>
    <w:rsid w:val="6C604F37"/>
    <w:rsid w:val="6C60E467"/>
    <w:rsid w:val="6C61652E"/>
    <w:rsid w:val="6C8631BB"/>
    <w:rsid w:val="6CAAD5CC"/>
    <w:rsid w:val="6CB72F69"/>
    <w:rsid w:val="6CEA3D15"/>
    <w:rsid w:val="6CF1C4F9"/>
    <w:rsid w:val="6D0D2A41"/>
    <w:rsid w:val="6D1470F4"/>
    <w:rsid w:val="6D16CFDF"/>
    <w:rsid w:val="6D3F94FE"/>
    <w:rsid w:val="6D479CB0"/>
    <w:rsid w:val="6D597643"/>
    <w:rsid w:val="6D59A914"/>
    <w:rsid w:val="6D6EC80D"/>
    <w:rsid w:val="6DAA2635"/>
    <w:rsid w:val="6DB2961D"/>
    <w:rsid w:val="6DD5ADDB"/>
    <w:rsid w:val="6DDF6B66"/>
    <w:rsid w:val="6DEEA367"/>
    <w:rsid w:val="6DF1AD75"/>
    <w:rsid w:val="6DF4FC5B"/>
    <w:rsid w:val="6E3A261B"/>
    <w:rsid w:val="6E66B8E5"/>
    <w:rsid w:val="6E6B3E19"/>
    <w:rsid w:val="6E89E740"/>
    <w:rsid w:val="6EE06D21"/>
    <w:rsid w:val="6EF45D9F"/>
    <w:rsid w:val="6EFA378E"/>
    <w:rsid w:val="6F0DD789"/>
    <w:rsid w:val="6F9905F0"/>
    <w:rsid w:val="6F9CE827"/>
    <w:rsid w:val="6F9F3671"/>
    <w:rsid w:val="6FC5E595"/>
    <w:rsid w:val="6FFBD2CC"/>
    <w:rsid w:val="70408FC9"/>
    <w:rsid w:val="704EB0C7"/>
    <w:rsid w:val="70902E00"/>
    <w:rsid w:val="7099C695"/>
    <w:rsid w:val="70FDDA2E"/>
    <w:rsid w:val="7116FC7A"/>
    <w:rsid w:val="71580708"/>
    <w:rsid w:val="7160F83B"/>
    <w:rsid w:val="716D127B"/>
    <w:rsid w:val="7171C495"/>
    <w:rsid w:val="7176BF0B"/>
    <w:rsid w:val="71C59615"/>
    <w:rsid w:val="71EA78E9"/>
    <w:rsid w:val="720F54B3"/>
    <w:rsid w:val="72262287"/>
    <w:rsid w:val="72528FD5"/>
    <w:rsid w:val="725CA02B"/>
    <w:rsid w:val="726A5671"/>
    <w:rsid w:val="726A8942"/>
    <w:rsid w:val="72843AC7"/>
    <w:rsid w:val="728F4CF5"/>
    <w:rsid w:val="72DFE24A"/>
    <w:rsid w:val="72EADD1E"/>
    <w:rsid w:val="7342E4F9"/>
    <w:rsid w:val="734E8F9A"/>
    <w:rsid w:val="737D9371"/>
    <w:rsid w:val="738ECE48"/>
    <w:rsid w:val="73C44FCD"/>
    <w:rsid w:val="73D2C81D"/>
    <w:rsid w:val="73F4B92A"/>
    <w:rsid w:val="74442D55"/>
    <w:rsid w:val="74862EEC"/>
    <w:rsid w:val="74AFC093"/>
    <w:rsid w:val="7521B504"/>
    <w:rsid w:val="752221EA"/>
    <w:rsid w:val="754E0902"/>
    <w:rsid w:val="755D2BD1"/>
    <w:rsid w:val="7564D628"/>
    <w:rsid w:val="75815B06"/>
    <w:rsid w:val="7592AD56"/>
    <w:rsid w:val="75B13288"/>
    <w:rsid w:val="75E33A14"/>
    <w:rsid w:val="75EE54CE"/>
    <w:rsid w:val="7641E545"/>
    <w:rsid w:val="7650EDC9"/>
    <w:rsid w:val="76899777"/>
    <w:rsid w:val="7692BB45"/>
    <w:rsid w:val="76A190E4"/>
    <w:rsid w:val="76CBFB6D"/>
    <w:rsid w:val="770FC6AF"/>
    <w:rsid w:val="77210186"/>
    <w:rsid w:val="77363FB0"/>
    <w:rsid w:val="773BE761"/>
    <w:rsid w:val="7782BE83"/>
    <w:rsid w:val="77A866F2"/>
    <w:rsid w:val="7857C22F"/>
    <w:rsid w:val="786FB58B"/>
    <w:rsid w:val="786FBB9C"/>
    <w:rsid w:val="787BAB7A"/>
    <w:rsid w:val="7884BFB1"/>
    <w:rsid w:val="7889E018"/>
    <w:rsid w:val="789C9D94"/>
    <w:rsid w:val="78B9BC95"/>
    <w:rsid w:val="78EFC3B6"/>
    <w:rsid w:val="791F265C"/>
    <w:rsid w:val="7927704A"/>
    <w:rsid w:val="79397435"/>
    <w:rsid w:val="79442F14"/>
    <w:rsid w:val="7952182B"/>
    <w:rsid w:val="7956C59B"/>
    <w:rsid w:val="795D24A0"/>
    <w:rsid w:val="79641D4B"/>
    <w:rsid w:val="79A21B8F"/>
    <w:rsid w:val="79A8DE98"/>
    <w:rsid w:val="79B0F981"/>
    <w:rsid w:val="79D0451A"/>
    <w:rsid w:val="79D611BC"/>
    <w:rsid w:val="79E41E21"/>
    <w:rsid w:val="79EEF795"/>
    <w:rsid w:val="7A091C11"/>
    <w:rsid w:val="7A217A25"/>
    <w:rsid w:val="7A2770BB"/>
    <w:rsid w:val="7A319913"/>
    <w:rsid w:val="7A3AB892"/>
    <w:rsid w:val="7A5345F0"/>
    <w:rsid w:val="7A597BA4"/>
    <w:rsid w:val="7A70C875"/>
    <w:rsid w:val="7A8E2D3B"/>
    <w:rsid w:val="7AA35AB3"/>
    <w:rsid w:val="7AB7202A"/>
    <w:rsid w:val="7AC177FB"/>
    <w:rsid w:val="7AF3B077"/>
    <w:rsid w:val="7B350346"/>
    <w:rsid w:val="7B4C5F2A"/>
    <w:rsid w:val="7B4EF4F1"/>
    <w:rsid w:val="7B522A26"/>
    <w:rsid w:val="7B5580B6"/>
    <w:rsid w:val="7B592812"/>
    <w:rsid w:val="7B6719B9"/>
    <w:rsid w:val="7BAF1102"/>
    <w:rsid w:val="7BC87146"/>
    <w:rsid w:val="7C1C0D45"/>
    <w:rsid w:val="7C1D9145"/>
    <w:rsid w:val="7C513BC2"/>
    <w:rsid w:val="7C962723"/>
    <w:rsid w:val="7C97070A"/>
    <w:rsid w:val="7C9EDDF7"/>
    <w:rsid w:val="7CA8B22E"/>
    <w:rsid w:val="7CAA61EA"/>
    <w:rsid w:val="7CAE88E0"/>
    <w:rsid w:val="7CBACAAE"/>
    <w:rsid w:val="7CDFFB6F"/>
    <w:rsid w:val="7CE26E0F"/>
    <w:rsid w:val="7CE9D4FC"/>
    <w:rsid w:val="7CF01E99"/>
    <w:rsid w:val="7D16A497"/>
    <w:rsid w:val="7D3611E0"/>
    <w:rsid w:val="7D4794B9"/>
    <w:rsid w:val="7D486A8A"/>
    <w:rsid w:val="7D5734B5"/>
    <w:rsid w:val="7D72227F"/>
    <w:rsid w:val="7D9E90C8"/>
    <w:rsid w:val="7DC42277"/>
    <w:rsid w:val="7DCD1A9D"/>
    <w:rsid w:val="7DD76D5B"/>
    <w:rsid w:val="7DD8D7AA"/>
    <w:rsid w:val="7DD99AAF"/>
    <w:rsid w:val="7E44DA0A"/>
    <w:rsid w:val="7E459AD3"/>
    <w:rsid w:val="7E4FAC5C"/>
    <w:rsid w:val="7E5F8C7E"/>
    <w:rsid w:val="7E7DB461"/>
    <w:rsid w:val="7EDC74AE"/>
    <w:rsid w:val="7EEE79CE"/>
    <w:rsid w:val="7EF1D626"/>
    <w:rsid w:val="7F138286"/>
    <w:rsid w:val="7F1DFFC2"/>
    <w:rsid w:val="7F25AE2A"/>
    <w:rsid w:val="7F3D4067"/>
    <w:rsid w:val="7F4AFD44"/>
    <w:rsid w:val="7F577D56"/>
    <w:rsid w:val="7F6EFF15"/>
    <w:rsid w:val="7F9FFB04"/>
    <w:rsid w:val="7FB2E15F"/>
    <w:rsid w:val="7FDA5A9B"/>
    <w:rsid w:val="7FE8C0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0D24"/>
  <w15:chartTrackingRefBased/>
  <w15:docId w15:val="{F03D9008-4E57-44AD-8C51-499C6B24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0B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030B4"/>
    <w:rPr>
      <w:b/>
      <w:bCs/>
    </w:rPr>
  </w:style>
  <w:style w:type="paragraph" w:styleId="ListParagraph">
    <w:name w:val="List Paragraph"/>
    <w:basedOn w:val="Normal"/>
    <w:uiPriority w:val="34"/>
    <w:qFormat/>
    <w:rsid w:val="00766EB2"/>
    <w:pPr>
      <w:ind w:left="720"/>
      <w:contextualSpacing/>
    </w:pPr>
  </w:style>
  <w:style w:type="character" w:styleId="Hyperlink">
    <w:name w:val="Hyperlink"/>
    <w:basedOn w:val="DefaultParagraphFont"/>
    <w:uiPriority w:val="99"/>
    <w:unhideWhenUsed/>
    <w:rsid w:val="00E72CE5"/>
    <w:rPr>
      <w:color w:val="0000FF" w:themeColor="hyperlink"/>
      <w:u w:val="single"/>
    </w:rPr>
  </w:style>
  <w:style w:type="character" w:styleId="UnresolvedMention">
    <w:name w:val="Unresolved Mention"/>
    <w:basedOn w:val="DefaultParagraphFont"/>
    <w:uiPriority w:val="99"/>
    <w:semiHidden/>
    <w:unhideWhenUsed/>
    <w:rsid w:val="00E72CE5"/>
    <w:rPr>
      <w:color w:val="605E5C"/>
      <w:shd w:val="clear" w:color="auto" w:fill="E1DFDD"/>
    </w:rPr>
  </w:style>
  <w:style w:type="paragraph" w:customStyle="1" w:styleId="Default">
    <w:name w:val="Default"/>
    <w:rsid w:val="004B2469"/>
    <w:pPr>
      <w:autoSpaceDE w:val="0"/>
      <w:autoSpaceDN w:val="0"/>
      <w:adjustRightInd w:val="0"/>
    </w:pPr>
    <w:rPr>
      <w:color w:val="000000"/>
    </w:rPr>
  </w:style>
  <w:style w:type="paragraph" w:styleId="Header">
    <w:name w:val="header"/>
    <w:basedOn w:val="Normal"/>
    <w:link w:val="HeaderChar"/>
    <w:uiPriority w:val="99"/>
    <w:unhideWhenUsed/>
    <w:rsid w:val="00CA07EC"/>
    <w:pPr>
      <w:tabs>
        <w:tab w:val="center" w:pos="4513"/>
        <w:tab w:val="right" w:pos="9026"/>
      </w:tabs>
    </w:pPr>
  </w:style>
  <w:style w:type="character" w:customStyle="1" w:styleId="HeaderChar">
    <w:name w:val="Header Char"/>
    <w:basedOn w:val="DefaultParagraphFont"/>
    <w:link w:val="Header"/>
    <w:uiPriority w:val="99"/>
    <w:rsid w:val="00CA07EC"/>
  </w:style>
  <w:style w:type="paragraph" w:styleId="Footer">
    <w:name w:val="footer"/>
    <w:basedOn w:val="Normal"/>
    <w:link w:val="FooterChar"/>
    <w:uiPriority w:val="99"/>
    <w:unhideWhenUsed/>
    <w:rsid w:val="00CA07EC"/>
    <w:pPr>
      <w:tabs>
        <w:tab w:val="center" w:pos="4513"/>
        <w:tab w:val="right" w:pos="9026"/>
      </w:tabs>
    </w:pPr>
  </w:style>
  <w:style w:type="character" w:customStyle="1" w:styleId="FooterChar">
    <w:name w:val="Footer Char"/>
    <w:basedOn w:val="DefaultParagraphFont"/>
    <w:link w:val="Footer"/>
    <w:uiPriority w:val="99"/>
    <w:rsid w:val="00CA07EC"/>
  </w:style>
  <w:style w:type="character" w:styleId="Mention">
    <w:name w:val="Mention"/>
    <w:basedOn w:val="DefaultParagraphFont"/>
    <w:uiPriority w:val="99"/>
    <w:unhideWhenUsed/>
    <w:rsid w:val="00B20426"/>
    <w:rPr>
      <w:color w:val="2B579A"/>
      <w:shd w:val="clear" w:color="auto" w:fill="E6E6E6"/>
    </w:rPr>
  </w:style>
  <w:style w:type="paragraph" w:styleId="CommentText">
    <w:name w:val="annotation text"/>
    <w:basedOn w:val="Normal"/>
    <w:link w:val="CommentTextChar"/>
    <w:uiPriority w:val="99"/>
    <w:semiHidden/>
    <w:unhideWhenUsed/>
    <w:rsid w:val="00B20426"/>
    <w:rPr>
      <w:sz w:val="20"/>
      <w:szCs w:val="20"/>
    </w:rPr>
  </w:style>
  <w:style w:type="character" w:customStyle="1" w:styleId="CommentTextChar">
    <w:name w:val="Comment Text Char"/>
    <w:basedOn w:val="DefaultParagraphFont"/>
    <w:link w:val="CommentText"/>
    <w:uiPriority w:val="99"/>
    <w:semiHidden/>
    <w:rsid w:val="00B20426"/>
    <w:rPr>
      <w:sz w:val="20"/>
      <w:szCs w:val="20"/>
    </w:rPr>
  </w:style>
  <w:style w:type="character" w:styleId="CommentReference">
    <w:name w:val="annotation reference"/>
    <w:basedOn w:val="DefaultParagraphFont"/>
    <w:uiPriority w:val="99"/>
    <w:semiHidden/>
    <w:unhideWhenUsed/>
    <w:rsid w:val="00B20426"/>
    <w:rPr>
      <w:sz w:val="16"/>
      <w:szCs w:val="16"/>
    </w:rPr>
  </w:style>
  <w:style w:type="paragraph" w:styleId="FootnoteText">
    <w:name w:val="footnote text"/>
    <w:basedOn w:val="Normal"/>
    <w:link w:val="FootnoteTextChar"/>
    <w:uiPriority w:val="99"/>
    <w:semiHidden/>
    <w:unhideWhenUsed/>
    <w:rsid w:val="007D7C79"/>
    <w:rPr>
      <w:sz w:val="20"/>
      <w:szCs w:val="20"/>
    </w:rPr>
  </w:style>
  <w:style w:type="character" w:customStyle="1" w:styleId="FootnoteTextChar">
    <w:name w:val="Footnote Text Char"/>
    <w:basedOn w:val="DefaultParagraphFont"/>
    <w:link w:val="FootnoteText"/>
    <w:uiPriority w:val="99"/>
    <w:semiHidden/>
    <w:rsid w:val="007D7C79"/>
    <w:rPr>
      <w:sz w:val="20"/>
      <w:szCs w:val="20"/>
    </w:rPr>
  </w:style>
  <w:style w:type="character" w:styleId="FootnoteReference">
    <w:name w:val="footnote reference"/>
    <w:basedOn w:val="DefaultParagraphFont"/>
    <w:uiPriority w:val="99"/>
    <w:semiHidden/>
    <w:unhideWhenUsed/>
    <w:rsid w:val="007D7C79"/>
    <w:rPr>
      <w:vertAlign w:val="superscript"/>
    </w:rPr>
  </w:style>
  <w:style w:type="character" w:styleId="FollowedHyperlink">
    <w:name w:val="FollowedHyperlink"/>
    <w:basedOn w:val="DefaultParagraphFont"/>
    <w:uiPriority w:val="99"/>
    <w:semiHidden/>
    <w:unhideWhenUsed/>
    <w:rsid w:val="009946ED"/>
    <w:rPr>
      <w:color w:val="800080" w:themeColor="followedHyperlink"/>
      <w:u w:val="single"/>
    </w:rPr>
  </w:style>
  <w:style w:type="paragraph" w:customStyle="1" w:styleId="xmsonormal">
    <w:name w:val="x_msonormal"/>
    <w:basedOn w:val="Normal"/>
    <w:rsid w:val="00934FAE"/>
    <w:rPr>
      <w:lang w:eastAsia="en-GB"/>
    </w:rPr>
  </w:style>
  <w:style w:type="table" w:styleId="TableGrid">
    <w:name w:val="Table Grid"/>
    <w:basedOn w:val="TableNormal"/>
    <w:uiPriority w:val="59"/>
    <w:rsid w:val="00BF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266">
      <w:bodyDiv w:val="1"/>
      <w:marLeft w:val="0"/>
      <w:marRight w:val="0"/>
      <w:marTop w:val="0"/>
      <w:marBottom w:val="0"/>
      <w:divBdr>
        <w:top w:val="none" w:sz="0" w:space="0" w:color="auto"/>
        <w:left w:val="none" w:sz="0" w:space="0" w:color="auto"/>
        <w:bottom w:val="none" w:sz="0" w:space="0" w:color="auto"/>
        <w:right w:val="none" w:sz="0" w:space="0" w:color="auto"/>
      </w:divBdr>
    </w:div>
    <w:div w:id="19167069">
      <w:bodyDiv w:val="1"/>
      <w:marLeft w:val="0"/>
      <w:marRight w:val="0"/>
      <w:marTop w:val="0"/>
      <w:marBottom w:val="0"/>
      <w:divBdr>
        <w:top w:val="none" w:sz="0" w:space="0" w:color="auto"/>
        <w:left w:val="none" w:sz="0" w:space="0" w:color="auto"/>
        <w:bottom w:val="none" w:sz="0" w:space="0" w:color="auto"/>
        <w:right w:val="none" w:sz="0" w:space="0" w:color="auto"/>
      </w:divBdr>
      <w:divsChild>
        <w:div w:id="1216358042">
          <w:marLeft w:val="0"/>
          <w:marRight w:val="0"/>
          <w:marTop w:val="0"/>
          <w:marBottom w:val="0"/>
          <w:divBdr>
            <w:top w:val="none" w:sz="0" w:space="0" w:color="auto"/>
            <w:left w:val="none" w:sz="0" w:space="0" w:color="auto"/>
            <w:bottom w:val="none" w:sz="0" w:space="0" w:color="auto"/>
            <w:right w:val="none" w:sz="0" w:space="0" w:color="auto"/>
          </w:divBdr>
          <w:divsChild>
            <w:div w:id="226113779">
              <w:marLeft w:val="0"/>
              <w:marRight w:val="0"/>
              <w:marTop w:val="0"/>
              <w:marBottom w:val="0"/>
              <w:divBdr>
                <w:top w:val="none" w:sz="0" w:space="0" w:color="auto"/>
                <w:left w:val="none" w:sz="0" w:space="0" w:color="auto"/>
                <w:bottom w:val="none" w:sz="0" w:space="0" w:color="auto"/>
                <w:right w:val="none" w:sz="0" w:space="0" w:color="auto"/>
              </w:divBdr>
              <w:divsChild>
                <w:div w:id="11301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112">
      <w:bodyDiv w:val="1"/>
      <w:marLeft w:val="0"/>
      <w:marRight w:val="0"/>
      <w:marTop w:val="0"/>
      <w:marBottom w:val="0"/>
      <w:divBdr>
        <w:top w:val="none" w:sz="0" w:space="0" w:color="auto"/>
        <w:left w:val="none" w:sz="0" w:space="0" w:color="auto"/>
        <w:bottom w:val="none" w:sz="0" w:space="0" w:color="auto"/>
        <w:right w:val="none" w:sz="0" w:space="0" w:color="auto"/>
      </w:divBdr>
    </w:div>
    <w:div w:id="19749843">
      <w:bodyDiv w:val="1"/>
      <w:marLeft w:val="0"/>
      <w:marRight w:val="0"/>
      <w:marTop w:val="0"/>
      <w:marBottom w:val="0"/>
      <w:divBdr>
        <w:top w:val="none" w:sz="0" w:space="0" w:color="auto"/>
        <w:left w:val="none" w:sz="0" w:space="0" w:color="auto"/>
        <w:bottom w:val="none" w:sz="0" w:space="0" w:color="auto"/>
        <w:right w:val="none" w:sz="0" w:space="0" w:color="auto"/>
      </w:divBdr>
      <w:divsChild>
        <w:div w:id="941256568">
          <w:marLeft w:val="0"/>
          <w:marRight w:val="0"/>
          <w:marTop w:val="0"/>
          <w:marBottom w:val="0"/>
          <w:divBdr>
            <w:top w:val="none" w:sz="0" w:space="0" w:color="auto"/>
            <w:left w:val="none" w:sz="0" w:space="0" w:color="auto"/>
            <w:bottom w:val="none" w:sz="0" w:space="0" w:color="auto"/>
            <w:right w:val="none" w:sz="0" w:space="0" w:color="auto"/>
          </w:divBdr>
          <w:divsChild>
            <w:div w:id="492061986">
              <w:marLeft w:val="0"/>
              <w:marRight w:val="0"/>
              <w:marTop w:val="0"/>
              <w:marBottom w:val="0"/>
              <w:divBdr>
                <w:top w:val="none" w:sz="0" w:space="0" w:color="auto"/>
                <w:left w:val="none" w:sz="0" w:space="0" w:color="auto"/>
                <w:bottom w:val="none" w:sz="0" w:space="0" w:color="auto"/>
                <w:right w:val="none" w:sz="0" w:space="0" w:color="auto"/>
              </w:divBdr>
              <w:divsChild>
                <w:div w:id="9657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8824">
      <w:bodyDiv w:val="1"/>
      <w:marLeft w:val="0"/>
      <w:marRight w:val="0"/>
      <w:marTop w:val="0"/>
      <w:marBottom w:val="0"/>
      <w:divBdr>
        <w:top w:val="none" w:sz="0" w:space="0" w:color="auto"/>
        <w:left w:val="none" w:sz="0" w:space="0" w:color="auto"/>
        <w:bottom w:val="none" w:sz="0" w:space="0" w:color="auto"/>
        <w:right w:val="none" w:sz="0" w:space="0" w:color="auto"/>
      </w:divBdr>
      <w:divsChild>
        <w:div w:id="1695181705">
          <w:marLeft w:val="0"/>
          <w:marRight w:val="0"/>
          <w:marTop w:val="0"/>
          <w:marBottom w:val="0"/>
          <w:divBdr>
            <w:top w:val="none" w:sz="0" w:space="0" w:color="auto"/>
            <w:left w:val="none" w:sz="0" w:space="0" w:color="auto"/>
            <w:bottom w:val="none" w:sz="0" w:space="0" w:color="auto"/>
            <w:right w:val="none" w:sz="0" w:space="0" w:color="auto"/>
          </w:divBdr>
          <w:divsChild>
            <w:div w:id="1001355412">
              <w:marLeft w:val="0"/>
              <w:marRight w:val="0"/>
              <w:marTop w:val="0"/>
              <w:marBottom w:val="0"/>
              <w:divBdr>
                <w:top w:val="none" w:sz="0" w:space="0" w:color="auto"/>
                <w:left w:val="none" w:sz="0" w:space="0" w:color="auto"/>
                <w:bottom w:val="none" w:sz="0" w:space="0" w:color="auto"/>
                <w:right w:val="none" w:sz="0" w:space="0" w:color="auto"/>
              </w:divBdr>
              <w:divsChild>
                <w:div w:id="10864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941">
      <w:bodyDiv w:val="1"/>
      <w:marLeft w:val="0"/>
      <w:marRight w:val="0"/>
      <w:marTop w:val="0"/>
      <w:marBottom w:val="0"/>
      <w:divBdr>
        <w:top w:val="none" w:sz="0" w:space="0" w:color="auto"/>
        <w:left w:val="none" w:sz="0" w:space="0" w:color="auto"/>
        <w:bottom w:val="none" w:sz="0" w:space="0" w:color="auto"/>
        <w:right w:val="none" w:sz="0" w:space="0" w:color="auto"/>
      </w:divBdr>
    </w:div>
    <w:div w:id="92478378">
      <w:bodyDiv w:val="1"/>
      <w:marLeft w:val="0"/>
      <w:marRight w:val="0"/>
      <w:marTop w:val="0"/>
      <w:marBottom w:val="0"/>
      <w:divBdr>
        <w:top w:val="none" w:sz="0" w:space="0" w:color="auto"/>
        <w:left w:val="none" w:sz="0" w:space="0" w:color="auto"/>
        <w:bottom w:val="none" w:sz="0" w:space="0" w:color="auto"/>
        <w:right w:val="none" w:sz="0" w:space="0" w:color="auto"/>
      </w:divBdr>
      <w:divsChild>
        <w:div w:id="917908400">
          <w:marLeft w:val="0"/>
          <w:marRight w:val="0"/>
          <w:marTop w:val="0"/>
          <w:marBottom w:val="0"/>
          <w:divBdr>
            <w:top w:val="none" w:sz="0" w:space="0" w:color="auto"/>
            <w:left w:val="none" w:sz="0" w:space="0" w:color="auto"/>
            <w:bottom w:val="none" w:sz="0" w:space="0" w:color="auto"/>
            <w:right w:val="none" w:sz="0" w:space="0" w:color="auto"/>
          </w:divBdr>
          <w:divsChild>
            <w:div w:id="1368406582">
              <w:marLeft w:val="0"/>
              <w:marRight w:val="0"/>
              <w:marTop w:val="0"/>
              <w:marBottom w:val="0"/>
              <w:divBdr>
                <w:top w:val="none" w:sz="0" w:space="0" w:color="auto"/>
                <w:left w:val="none" w:sz="0" w:space="0" w:color="auto"/>
                <w:bottom w:val="none" w:sz="0" w:space="0" w:color="auto"/>
                <w:right w:val="none" w:sz="0" w:space="0" w:color="auto"/>
              </w:divBdr>
              <w:divsChild>
                <w:div w:id="13279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3858">
      <w:bodyDiv w:val="1"/>
      <w:marLeft w:val="0"/>
      <w:marRight w:val="0"/>
      <w:marTop w:val="0"/>
      <w:marBottom w:val="0"/>
      <w:divBdr>
        <w:top w:val="none" w:sz="0" w:space="0" w:color="auto"/>
        <w:left w:val="none" w:sz="0" w:space="0" w:color="auto"/>
        <w:bottom w:val="none" w:sz="0" w:space="0" w:color="auto"/>
        <w:right w:val="none" w:sz="0" w:space="0" w:color="auto"/>
      </w:divBdr>
      <w:divsChild>
        <w:div w:id="703677184">
          <w:marLeft w:val="0"/>
          <w:marRight w:val="0"/>
          <w:marTop w:val="0"/>
          <w:marBottom w:val="0"/>
          <w:divBdr>
            <w:top w:val="none" w:sz="0" w:space="0" w:color="auto"/>
            <w:left w:val="none" w:sz="0" w:space="0" w:color="auto"/>
            <w:bottom w:val="none" w:sz="0" w:space="0" w:color="auto"/>
            <w:right w:val="none" w:sz="0" w:space="0" w:color="auto"/>
          </w:divBdr>
          <w:divsChild>
            <w:div w:id="700981672">
              <w:marLeft w:val="0"/>
              <w:marRight w:val="0"/>
              <w:marTop w:val="0"/>
              <w:marBottom w:val="0"/>
              <w:divBdr>
                <w:top w:val="none" w:sz="0" w:space="0" w:color="auto"/>
                <w:left w:val="none" w:sz="0" w:space="0" w:color="auto"/>
                <w:bottom w:val="none" w:sz="0" w:space="0" w:color="auto"/>
                <w:right w:val="none" w:sz="0" w:space="0" w:color="auto"/>
              </w:divBdr>
              <w:divsChild>
                <w:div w:id="788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9085">
      <w:bodyDiv w:val="1"/>
      <w:marLeft w:val="0"/>
      <w:marRight w:val="0"/>
      <w:marTop w:val="0"/>
      <w:marBottom w:val="0"/>
      <w:divBdr>
        <w:top w:val="none" w:sz="0" w:space="0" w:color="auto"/>
        <w:left w:val="none" w:sz="0" w:space="0" w:color="auto"/>
        <w:bottom w:val="none" w:sz="0" w:space="0" w:color="auto"/>
        <w:right w:val="none" w:sz="0" w:space="0" w:color="auto"/>
      </w:divBdr>
      <w:divsChild>
        <w:div w:id="142627856">
          <w:marLeft w:val="0"/>
          <w:marRight w:val="0"/>
          <w:marTop w:val="0"/>
          <w:marBottom w:val="0"/>
          <w:divBdr>
            <w:top w:val="none" w:sz="0" w:space="0" w:color="auto"/>
            <w:left w:val="none" w:sz="0" w:space="0" w:color="auto"/>
            <w:bottom w:val="none" w:sz="0" w:space="0" w:color="auto"/>
            <w:right w:val="none" w:sz="0" w:space="0" w:color="auto"/>
          </w:divBdr>
          <w:divsChild>
            <w:div w:id="523174075">
              <w:marLeft w:val="0"/>
              <w:marRight w:val="0"/>
              <w:marTop w:val="0"/>
              <w:marBottom w:val="0"/>
              <w:divBdr>
                <w:top w:val="none" w:sz="0" w:space="0" w:color="auto"/>
                <w:left w:val="none" w:sz="0" w:space="0" w:color="auto"/>
                <w:bottom w:val="none" w:sz="0" w:space="0" w:color="auto"/>
                <w:right w:val="none" w:sz="0" w:space="0" w:color="auto"/>
              </w:divBdr>
              <w:divsChild>
                <w:div w:id="8508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9874">
      <w:bodyDiv w:val="1"/>
      <w:marLeft w:val="0"/>
      <w:marRight w:val="0"/>
      <w:marTop w:val="0"/>
      <w:marBottom w:val="0"/>
      <w:divBdr>
        <w:top w:val="none" w:sz="0" w:space="0" w:color="auto"/>
        <w:left w:val="none" w:sz="0" w:space="0" w:color="auto"/>
        <w:bottom w:val="none" w:sz="0" w:space="0" w:color="auto"/>
        <w:right w:val="none" w:sz="0" w:space="0" w:color="auto"/>
      </w:divBdr>
      <w:divsChild>
        <w:div w:id="1144740901">
          <w:marLeft w:val="0"/>
          <w:marRight w:val="0"/>
          <w:marTop w:val="0"/>
          <w:marBottom w:val="0"/>
          <w:divBdr>
            <w:top w:val="none" w:sz="0" w:space="0" w:color="auto"/>
            <w:left w:val="none" w:sz="0" w:space="0" w:color="auto"/>
            <w:bottom w:val="none" w:sz="0" w:space="0" w:color="auto"/>
            <w:right w:val="none" w:sz="0" w:space="0" w:color="auto"/>
          </w:divBdr>
          <w:divsChild>
            <w:div w:id="683046992">
              <w:marLeft w:val="0"/>
              <w:marRight w:val="0"/>
              <w:marTop w:val="0"/>
              <w:marBottom w:val="0"/>
              <w:divBdr>
                <w:top w:val="none" w:sz="0" w:space="0" w:color="auto"/>
                <w:left w:val="none" w:sz="0" w:space="0" w:color="auto"/>
                <w:bottom w:val="none" w:sz="0" w:space="0" w:color="auto"/>
                <w:right w:val="none" w:sz="0" w:space="0" w:color="auto"/>
              </w:divBdr>
              <w:divsChild>
                <w:div w:id="700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1311">
      <w:bodyDiv w:val="1"/>
      <w:marLeft w:val="0"/>
      <w:marRight w:val="0"/>
      <w:marTop w:val="0"/>
      <w:marBottom w:val="0"/>
      <w:divBdr>
        <w:top w:val="none" w:sz="0" w:space="0" w:color="auto"/>
        <w:left w:val="none" w:sz="0" w:space="0" w:color="auto"/>
        <w:bottom w:val="none" w:sz="0" w:space="0" w:color="auto"/>
        <w:right w:val="none" w:sz="0" w:space="0" w:color="auto"/>
      </w:divBdr>
      <w:divsChild>
        <w:div w:id="893199036">
          <w:marLeft w:val="0"/>
          <w:marRight w:val="0"/>
          <w:marTop w:val="0"/>
          <w:marBottom w:val="0"/>
          <w:divBdr>
            <w:top w:val="none" w:sz="0" w:space="0" w:color="auto"/>
            <w:left w:val="none" w:sz="0" w:space="0" w:color="auto"/>
            <w:bottom w:val="none" w:sz="0" w:space="0" w:color="auto"/>
            <w:right w:val="none" w:sz="0" w:space="0" w:color="auto"/>
          </w:divBdr>
          <w:divsChild>
            <w:div w:id="1075207903">
              <w:marLeft w:val="0"/>
              <w:marRight w:val="0"/>
              <w:marTop w:val="0"/>
              <w:marBottom w:val="0"/>
              <w:divBdr>
                <w:top w:val="none" w:sz="0" w:space="0" w:color="auto"/>
                <w:left w:val="none" w:sz="0" w:space="0" w:color="auto"/>
                <w:bottom w:val="none" w:sz="0" w:space="0" w:color="auto"/>
                <w:right w:val="none" w:sz="0" w:space="0" w:color="auto"/>
              </w:divBdr>
              <w:divsChild>
                <w:div w:id="1872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87513">
      <w:bodyDiv w:val="1"/>
      <w:marLeft w:val="0"/>
      <w:marRight w:val="0"/>
      <w:marTop w:val="0"/>
      <w:marBottom w:val="0"/>
      <w:divBdr>
        <w:top w:val="none" w:sz="0" w:space="0" w:color="auto"/>
        <w:left w:val="none" w:sz="0" w:space="0" w:color="auto"/>
        <w:bottom w:val="none" w:sz="0" w:space="0" w:color="auto"/>
        <w:right w:val="none" w:sz="0" w:space="0" w:color="auto"/>
      </w:divBdr>
      <w:divsChild>
        <w:div w:id="2077194392">
          <w:marLeft w:val="0"/>
          <w:marRight w:val="0"/>
          <w:marTop w:val="0"/>
          <w:marBottom w:val="0"/>
          <w:divBdr>
            <w:top w:val="none" w:sz="0" w:space="0" w:color="auto"/>
            <w:left w:val="none" w:sz="0" w:space="0" w:color="auto"/>
            <w:bottom w:val="none" w:sz="0" w:space="0" w:color="auto"/>
            <w:right w:val="none" w:sz="0" w:space="0" w:color="auto"/>
          </w:divBdr>
          <w:divsChild>
            <w:div w:id="1061752299">
              <w:marLeft w:val="0"/>
              <w:marRight w:val="0"/>
              <w:marTop w:val="0"/>
              <w:marBottom w:val="0"/>
              <w:divBdr>
                <w:top w:val="none" w:sz="0" w:space="0" w:color="auto"/>
                <w:left w:val="none" w:sz="0" w:space="0" w:color="auto"/>
                <w:bottom w:val="none" w:sz="0" w:space="0" w:color="auto"/>
                <w:right w:val="none" w:sz="0" w:space="0" w:color="auto"/>
              </w:divBdr>
              <w:divsChild>
                <w:div w:id="9951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6281">
      <w:bodyDiv w:val="1"/>
      <w:marLeft w:val="0"/>
      <w:marRight w:val="0"/>
      <w:marTop w:val="0"/>
      <w:marBottom w:val="0"/>
      <w:divBdr>
        <w:top w:val="none" w:sz="0" w:space="0" w:color="auto"/>
        <w:left w:val="none" w:sz="0" w:space="0" w:color="auto"/>
        <w:bottom w:val="none" w:sz="0" w:space="0" w:color="auto"/>
        <w:right w:val="none" w:sz="0" w:space="0" w:color="auto"/>
      </w:divBdr>
      <w:divsChild>
        <w:div w:id="2024938535">
          <w:marLeft w:val="0"/>
          <w:marRight w:val="0"/>
          <w:marTop w:val="0"/>
          <w:marBottom w:val="0"/>
          <w:divBdr>
            <w:top w:val="none" w:sz="0" w:space="0" w:color="auto"/>
            <w:left w:val="none" w:sz="0" w:space="0" w:color="auto"/>
            <w:bottom w:val="none" w:sz="0" w:space="0" w:color="auto"/>
            <w:right w:val="none" w:sz="0" w:space="0" w:color="auto"/>
          </w:divBdr>
          <w:divsChild>
            <w:div w:id="1659383074">
              <w:marLeft w:val="0"/>
              <w:marRight w:val="0"/>
              <w:marTop w:val="0"/>
              <w:marBottom w:val="0"/>
              <w:divBdr>
                <w:top w:val="none" w:sz="0" w:space="0" w:color="auto"/>
                <w:left w:val="none" w:sz="0" w:space="0" w:color="auto"/>
                <w:bottom w:val="none" w:sz="0" w:space="0" w:color="auto"/>
                <w:right w:val="none" w:sz="0" w:space="0" w:color="auto"/>
              </w:divBdr>
              <w:divsChild>
                <w:div w:id="14321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6137">
      <w:bodyDiv w:val="1"/>
      <w:marLeft w:val="0"/>
      <w:marRight w:val="0"/>
      <w:marTop w:val="0"/>
      <w:marBottom w:val="0"/>
      <w:divBdr>
        <w:top w:val="none" w:sz="0" w:space="0" w:color="auto"/>
        <w:left w:val="none" w:sz="0" w:space="0" w:color="auto"/>
        <w:bottom w:val="none" w:sz="0" w:space="0" w:color="auto"/>
        <w:right w:val="none" w:sz="0" w:space="0" w:color="auto"/>
      </w:divBdr>
      <w:divsChild>
        <w:div w:id="290868560">
          <w:marLeft w:val="0"/>
          <w:marRight w:val="0"/>
          <w:marTop w:val="0"/>
          <w:marBottom w:val="0"/>
          <w:divBdr>
            <w:top w:val="none" w:sz="0" w:space="0" w:color="auto"/>
            <w:left w:val="none" w:sz="0" w:space="0" w:color="auto"/>
            <w:bottom w:val="none" w:sz="0" w:space="0" w:color="auto"/>
            <w:right w:val="none" w:sz="0" w:space="0" w:color="auto"/>
          </w:divBdr>
          <w:divsChild>
            <w:div w:id="1886403912">
              <w:marLeft w:val="0"/>
              <w:marRight w:val="0"/>
              <w:marTop w:val="0"/>
              <w:marBottom w:val="0"/>
              <w:divBdr>
                <w:top w:val="none" w:sz="0" w:space="0" w:color="auto"/>
                <w:left w:val="none" w:sz="0" w:space="0" w:color="auto"/>
                <w:bottom w:val="none" w:sz="0" w:space="0" w:color="auto"/>
                <w:right w:val="none" w:sz="0" w:space="0" w:color="auto"/>
              </w:divBdr>
              <w:divsChild>
                <w:div w:id="9012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8326">
      <w:bodyDiv w:val="1"/>
      <w:marLeft w:val="0"/>
      <w:marRight w:val="0"/>
      <w:marTop w:val="0"/>
      <w:marBottom w:val="0"/>
      <w:divBdr>
        <w:top w:val="none" w:sz="0" w:space="0" w:color="auto"/>
        <w:left w:val="none" w:sz="0" w:space="0" w:color="auto"/>
        <w:bottom w:val="none" w:sz="0" w:space="0" w:color="auto"/>
        <w:right w:val="none" w:sz="0" w:space="0" w:color="auto"/>
      </w:divBdr>
      <w:divsChild>
        <w:div w:id="1046637626">
          <w:marLeft w:val="0"/>
          <w:marRight w:val="0"/>
          <w:marTop w:val="0"/>
          <w:marBottom w:val="0"/>
          <w:divBdr>
            <w:top w:val="none" w:sz="0" w:space="0" w:color="auto"/>
            <w:left w:val="none" w:sz="0" w:space="0" w:color="auto"/>
            <w:bottom w:val="none" w:sz="0" w:space="0" w:color="auto"/>
            <w:right w:val="none" w:sz="0" w:space="0" w:color="auto"/>
          </w:divBdr>
          <w:divsChild>
            <w:div w:id="274825116">
              <w:marLeft w:val="0"/>
              <w:marRight w:val="0"/>
              <w:marTop w:val="0"/>
              <w:marBottom w:val="0"/>
              <w:divBdr>
                <w:top w:val="none" w:sz="0" w:space="0" w:color="auto"/>
                <w:left w:val="none" w:sz="0" w:space="0" w:color="auto"/>
                <w:bottom w:val="none" w:sz="0" w:space="0" w:color="auto"/>
                <w:right w:val="none" w:sz="0" w:space="0" w:color="auto"/>
              </w:divBdr>
              <w:divsChild>
                <w:div w:id="15501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85143">
      <w:bodyDiv w:val="1"/>
      <w:marLeft w:val="0"/>
      <w:marRight w:val="0"/>
      <w:marTop w:val="0"/>
      <w:marBottom w:val="0"/>
      <w:divBdr>
        <w:top w:val="none" w:sz="0" w:space="0" w:color="auto"/>
        <w:left w:val="none" w:sz="0" w:space="0" w:color="auto"/>
        <w:bottom w:val="none" w:sz="0" w:space="0" w:color="auto"/>
        <w:right w:val="none" w:sz="0" w:space="0" w:color="auto"/>
      </w:divBdr>
      <w:divsChild>
        <w:div w:id="1738474493">
          <w:marLeft w:val="0"/>
          <w:marRight w:val="0"/>
          <w:marTop w:val="0"/>
          <w:marBottom w:val="0"/>
          <w:divBdr>
            <w:top w:val="none" w:sz="0" w:space="0" w:color="auto"/>
            <w:left w:val="none" w:sz="0" w:space="0" w:color="auto"/>
            <w:bottom w:val="none" w:sz="0" w:space="0" w:color="auto"/>
            <w:right w:val="none" w:sz="0" w:space="0" w:color="auto"/>
          </w:divBdr>
          <w:divsChild>
            <w:div w:id="923958617">
              <w:marLeft w:val="0"/>
              <w:marRight w:val="0"/>
              <w:marTop w:val="0"/>
              <w:marBottom w:val="0"/>
              <w:divBdr>
                <w:top w:val="none" w:sz="0" w:space="0" w:color="auto"/>
                <w:left w:val="none" w:sz="0" w:space="0" w:color="auto"/>
                <w:bottom w:val="none" w:sz="0" w:space="0" w:color="auto"/>
                <w:right w:val="none" w:sz="0" w:space="0" w:color="auto"/>
              </w:divBdr>
              <w:divsChild>
                <w:div w:id="1159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5611">
      <w:bodyDiv w:val="1"/>
      <w:marLeft w:val="0"/>
      <w:marRight w:val="0"/>
      <w:marTop w:val="0"/>
      <w:marBottom w:val="0"/>
      <w:divBdr>
        <w:top w:val="none" w:sz="0" w:space="0" w:color="auto"/>
        <w:left w:val="none" w:sz="0" w:space="0" w:color="auto"/>
        <w:bottom w:val="none" w:sz="0" w:space="0" w:color="auto"/>
        <w:right w:val="none" w:sz="0" w:space="0" w:color="auto"/>
      </w:divBdr>
      <w:divsChild>
        <w:div w:id="544216273">
          <w:marLeft w:val="0"/>
          <w:marRight w:val="0"/>
          <w:marTop w:val="0"/>
          <w:marBottom w:val="0"/>
          <w:divBdr>
            <w:top w:val="none" w:sz="0" w:space="0" w:color="auto"/>
            <w:left w:val="none" w:sz="0" w:space="0" w:color="auto"/>
            <w:bottom w:val="none" w:sz="0" w:space="0" w:color="auto"/>
            <w:right w:val="none" w:sz="0" w:space="0" w:color="auto"/>
          </w:divBdr>
          <w:divsChild>
            <w:div w:id="579948013">
              <w:marLeft w:val="0"/>
              <w:marRight w:val="0"/>
              <w:marTop w:val="0"/>
              <w:marBottom w:val="0"/>
              <w:divBdr>
                <w:top w:val="none" w:sz="0" w:space="0" w:color="auto"/>
                <w:left w:val="none" w:sz="0" w:space="0" w:color="auto"/>
                <w:bottom w:val="none" w:sz="0" w:space="0" w:color="auto"/>
                <w:right w:val="none" w:sz="0" w:space="0" w:color="auto"/>
              </w:divBdr>
              <w:divsChild>
                <w:div w:id="1751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6585">
      <w:bodyDiv w:val="1"/>
      <w:marLeft w:val="0"/>
      <w:marRight w:val="0"/>
      <w:marTop w:val="0"/>
      <w:marBottom w:val="0"/>
      <w:divBdr>
        <w:top w:val="none" w:sz="0" w:space="0" w:color="auto"/>
        <w:left w:val="none" w:sz="0" w:space="0" w:color="auto"/>
        <w:bottom w:val="none" w:sz="0" w:space="0" w:color="auto"/>
        <w:right w:val="none" w:sz="0" w:space="0" w:color="auto"/>
      </w:divBdr>
      <w:divsChild>
        <w:div w:id="1366521648">
          <w:marLeft w:val="0"/>
          <w:marRight w:val="0"/>
          <w:marTop w:val="0"/>
          <w:marBottom w:val="0"/>
          <w:divBdr>
            <w:top w:val="none" w:sz="0" w:space="0" w:color="auto"/>
            <w:left w:val="none" w:sz="0" w:space="0" w:color="auto"/>
            <w:bottom w:val="none" w:sz="0" w:space="0" w:color="auto"/>
            <w:right w:val="none" w:sz="0" w:space="0" w:color="auto"/>
          </w:divBdr>
          <w:divsChild>
            <w:div w:id="123038820">
              <w:marLeft w:val="0"/>
              <w:marRight w:val="0"/>
              <w:marTop w:val="0"/>
              <w:marBottom w:val="0"/>
              <w:divBdr>
                <w:top w:val="none" w:sz="0" w:space="0" w:color="auto"/>
                <w:left w:val="none" w:sz="0" w:space="0" w:color="auto"/>
                <w:bottom w:val="none" w:sz="0" w:space="0" w:color="auto"/>
                <w:right w:val="none" w:sz="0" w:space="0" w:color="auto"/>
              </w:divBdr>
              <w:divsChild>
                <w:div w:id="13872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1208">
      <w:bodyDiv w:val="1"/>
      <w:marLeft w:val="0"/>
      <w:marRight w:val="0"/>
      <w:marTop w:val="0"/>
      <w:marBottom w:val="0"/>
      <w:divBdr>
        <w:top w:val="none" w:sz="0" w:space="0" w:color="auto"/>
        <w:left w:val="none" w:sz="0" w:space="0" w:color="auto"/>
        <w:bottom w:val="none" w:sz="0" w:space="0" w:color="auto"/>
        <w:right w:val="none" w:sz="0" w:space="0" w:color="auto"/>
      </w:divBdr>
      <w:divsChild>
        <w:div w:id="2140301754">
          <w:marLeft w:val="0"/>
          <w:marRight w:val="0"/>
          <w:marTop w:val="0"/>
          <w:marBottom w:val="0"/>
          <w:divBdr>
            <w:top w:val="none" w:sz="0" w:space="0" w:color="auto"/>
            <w:left w:val="none" w:sz="0" w:space="0" w:color="auto"/>
            <w:bottom w:val="none" w:sz="0" w:space="0" w:color="auto"/>
            <w:right w:val="none" w:sz="0" w:space="0" w:color="auto"/>
          </w:divBdr>
          <w:divsChild>
            <w:div w:id="858663155">
              <w:marLeft w:val="0"/>
              <w:marRight w:val="0"/>
              <w:marTop w:val="0"/>
              <w:marBottom w:val="0"/>
              <w:divBdr>
                <w:top w:val="none" w:sz="0" w:space="0" w:color="auto"/>
                <w:left w:val="none" w:sz="0" w:space="0" w:color="auto"/>
                <w:bottom w:val="none" w:sz="0" w:space="0" w:color="auto"/>
                <w:right w:val="none" w:sz="0" w:space="0" w:color="auto"/>
              </w:divBdr>
              <w:divsChild>
                <w:div w:id="7878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31235">
      <w:bodyDiv w:val="1"/>
      <w:marLeft w:val="0"/>
      <w:marRight w:val="0"/>
      <w:marTop w:val="0"/>
      <w:marBottom w:val="0"/>
      <w:divBdr>
        <w:top w:val="none" w:sz="0" w:space="0" w:color="auto"/>
        <w:left w:val="none" w:sz="0" w:space="0" w:color="auto"/>
        <w:bottom w:val="none" w:sz="0" w:space="0" w:color="auto"/>
        <w:right w:val="none" w:sz="0" w:space="0" w:color="auto"/>
      </w:divBdr>
      <w:divsChild>
        <w:div w:id="1186215187">
          <w:marLeft w:val="0"/>
          <w:marRight w:val="0"/>
          <w:marTop w:val="0"/>
          <w:marBottom w:val="0"/>
          <w:divBdr>
            <w:top w:val="none" w:sz="0" w:space="0" w:color="auto"/>
            <w:left w:val="none" w:sz="0" w:space="0" w:color="auto"/>
            <w:bottom w:val="none" w:sz="0" w:space="0" w:color="auto"/>
            <w:right w:val="none" w:sz="0" w:space="0" w:color="auto"/>
          </w:divBdr>
          <w:divsChild>
            <w:div w:id="1049064158">
              <w:marLeft w:val="0"/>
              <w:marRight w:val="0"/>
              <w:marTop w:val="0"/>
              <w:marBottom w:val="0"/>
              <w:divBdr>
                <w:top w:val="none" w:sz="0" w:space="0" w:color="auto"/>
                <w:left w:val="none" w:sz="0" w:space="0" w:color="auto"/>
                <w:bottom w:val="none" w:sz="0" w:space="0" w:color="auto"/>
                <w:right w:val="none" w:sz="0" w:space="0" w:color="auto"/>
              </w:divBdr>
              <w:divsChild>
                <w:div w:id="11344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6339">
      <w:bodyDiv w:val="1"/>
      <w:marLeft w:val="0"/>
      <w:marRight w:val="0"/>
      <w:marTop w:val="0"/>
      <w:marBottom w:val="0"/>
      <w:divBdr>
        <w:top w:val="none" w:sz="0" w:space="0" w:color="auto"/>
        <w:left w:val="none" w:sz="0" w:space="0" w:color="auto"/>
        <w:bottom w:val="none" w:sz="0" w:space="0" w:color="auto"/>
        <w:right w:val="none" w:sz="0" w:space="0" w:color="auto"/>
      </w:divBdr>
      <w:divsChild>
        <w:div w:id="366955362">
          <w:marLeft w:val="0"/>
          <w:marRight w:val="0"/>
          <w:marTop w:val="0"/>
          <w:marBottom w:val="0"/>
          <w:divBdr>
            <w:top w:val="none" w:sz="0" w:space="0" w:color="auto"/>
            <w:left w:val="none" w:sz="0" w:space="0" w:color="auto"/>
            <w:bottom w:val="none" w:sz="0" w:space="0" w:color="auto"/>
            <w:right w:val="none" w:sz="0" w:space="0" w:color="auto"/>
          </w:divBdr>
          <w:divsChild>
            <w:div w:id="61411556">
              <w:marLeft w:val="0"/>
              <w:marRight w:val="0"/>
              <w:marTop w:val="0"/>
              <w:marBottom w:val="0"/>
              <w:divBdr>
                <w:top w:val="none" w:sz="0" w:space="0" w:color="auto"/>
                <w:left w:val="none" w:sz="0" w:space="0" w:color="auto"/>
                <w:bottom w:val="none" w:sz="0" w:space="0" w:color="auto"/>
                <w:right w:val="none" w:sz="0" w:space="0" w:color="auto"/>
              </w:divBdr>
              <w:divsChild>
                <w:div w:id="10127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79292">
      <w:bodyDiv w:val="1"/>
      <w:marLeft w:val="0"/>
      <w:marRight w:val="0"/>
      <w:marTop w:val="0"/>
      <w:marBottom w:val="0"/>
      <w:divBdr>
        <w:top w:val="none" w:sz="0" w:space="0" w:color="auto"/>
        <w:left w:val="none" w:sz="0" w:space="0" w:color="auto"/>
        <w:bottom w:val="none" w:sz="0" w:space="0" w:color="auto"/>
        <w:right w:val="none" w:sz="0" w:space="0" w:color="auto"/>
      </w:divBdr>
      <w:divsChild>
        <w:div w:id="1667321115">
          <w:marLeft w:val="0"/>
          <w:marRight w:val="0"/>
          <w:marTop w:val="0"/>
          <w:marBottom w:val="0"/>
          <w:divBdr>
            <w:top w:val="none" w:sz="0" w:space="0" w:color="auto"/>
            <w:left w:val="none" w:sz="0" w:space="0" w:color="auto"/>
            <w:bottom w:val="none" w:sz="0" w:space="0" w:color="auto"/>
            <w:right w:val="none" w:sz="0" w:space="0" w:color="auto"/>
          </w:divBdr>
          <w:divsChild>
            <w:div w:id="1938713770">
              <w:marLeft w:val="0"/>
              <w:marRight w:val="0"/>
              <w:marTop w:val="0"/>
              <w:marBottom w:val="0"/>
              <w:divBdr>
                <w:top w:val="none" w:sz="0" w:space="0" w:color="auto"/>
                <w:left w:val="none" w:sz="0" w:space="0" w:color="auto"/>
                <w:bottom w:val="none" w:sz="0" w:space="0" w:color="auto"/>
                <w:right w:val="none" w:sz="0" w:space="0" w:color="auto"/>
              </w:divBdr>
              <w:divsChild>
                <w:div w:id="2990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80663">
      <w:bodyDiv w:val="1"/>
      <w:marLeft w:val="0"/>
      <w:marRight w:val="0"/>
      <w:marTop w:val="0"/>
      <w:marBottom w:val="0"/>
      <w:divBdr>
        <w:top w:val="none" w:sz="0" w:space="0" w:color="auto"/>
        <w:left w:val="none" w:sz="0" w:space="0" w:color="auto"/>
        <w:bottom w:val="none" w:sz="0" w:space="0" w:color="auto"/>
        <w:right w:val="none" w:sz="0" w:space="0" w:color="auto"/>
      </w:divBdr>
      <w:divsChild>
        <w:div w:id="417026164">
          <w:marLeft w:val="0"/>
          <w:marRight w:val="0"/>
          <w:marTop w:val="0"/>
          <w:marBottom w:val="0"/>
          <w:divBdr>
            <w:top w:val="none" w:sz="0" w:space="0" w:color="auto"/>
            <w:left w:val="none" w:sz="0" w:space="0" w:color="auto"/>
            <w:bottom w:val="none" w:sz="0" w:space="0" w:color="auto"/>
            <w:right w:val="none" w:sz="0" w:space="0" w:color="auto"/>
          </w:divBdr>
          <w:divsChild>
            <w:div w:id="966199497">
              <w:marLeft w:val="0"/>
              <w:marRight w:val="0"/>
              <w:marTop w:val="0"/>
              <w:marBottom w:val="0"/>
              <w:divBdr>
                <w:top w:val="none" w:sz="0" w:space="0" w:color="auto"/>
                <w:left w:val="none" w:sz="0" w:space="0" w:color="auto"/>
                <w:bottom w:val="none" w:sz="0" w:space="0" w:color="auto"/>
                <w:right w:val="none" w:sz="0" w:space="0" w:color="auto"/>
              </w:divBdr>
              <w:divsChild>
                <w:div w:id="15336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5844">
      <w:bodyDiv w:val="1"/>
      <w:marLeft w:val="0"/>
      <w:marRight w:val="0"/>
      <w:marTop w:val="0"/>
      <w:marBottom w:val="0"/>
      <w:divBdr>
        <w:top w:val="none" w:sz="0" w:space="0" w:color="auto"/>
        <w:left w:val="none" w:sz="0" w:space="0" w:color="auto"/>
        <w:bottom w:val="none" w:sz="0" w:space="0" w:color="auto"/>
        <w:right w:val="none" w:sz="0" w:space="0" w:color="auto"/>
      </w:divBdr>
      <w:divsChild>
        <w:div w:id="720909360">
          <w:marLeft w:val="0"/>
          <w:marRight w:val="0"/>
          <w:marTop w:val="0"/>
          <w:marBottom w:val="0"/>
          <w:divBdr>
            <w:top w:val="none" w:sz="0" w:space="0" w:color="auto"/>
            <w:left w:val="none" w:sz="0" w:space="0" w:color="auto"/>
            <w:bottom w:val="none" w:sz="0" w:space="0" w:color="auto"/>
            <w:right w:val="none" w:sz="0" w:space="0" w:color="auto"/>
          </w:divBdr>
          <w:divsChild>
            <w:div w:id="305627133">
              <w:marLeft w:val="0"/>
              <w:marRight w:val="0"/>
              <w:marTop w:val="0"/>
              <w:marBottom w:val="0"/>
              <w:divBdr>
                <w:top w:val="none" w:sz="0" w:space="0" w:color="auto"/>
                <w:left w:val="none" w:sz="0" w:space="0" w:color="auto"/>
                <w:bottom w:val="none" w:sz="0" w:space="0" w:color="auto"/>
                <w:right w:val="none" w:sz="0" w:space="0" w:color="auto"/>
              </w:divBdr>
              <w:divsChild>
                <w:div w:id="4715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43782">
      <w:bodyDiv w:val="1"/>
      <w:marLeft w:val="0"/>
      <w:marRight w:val="0"/>
      <w:marTop w:val="0"/>
      <w:marBottom w:val="0"/>
      <w:divBdr>
        <w:top w:val="none" w:sz="0" w:space="0" w:color="auto"/>
        <w:left w:val="none" w:sz="0" w:space="0" w:color="auto"/>
        <w:bottom w:val="none" w:sz="0" w:space="0" w:color="auto"/>
        <w:right w:val="none" w:sz="0" w:space="0" w:color="auto"/>
      </w:divBdr>
    </w:div>
    <w:div w:id="646666963">
      <w:bodyDiv w:val="1"/>
      <w:marLeft w:val="0"/>
      <w:marRight w:val="0"/>
      <w:marTop w:val="0"/>
      <w:marBottom w:val="0"/>
      <w:divBdr>
        <w:top w:val="none" w:sz="0" w:space="0" w:color="auto"/>
        <w:left w:val="none" w:sz="0" w:space="0" w:color="auto"/>
        <w:bottom w:val="none" w:sz="0" w:space="0" w:color="auto"/>
        <w:right w:val="none" w:sz="0" w:space="0" w:color="auto"/>
      </w:divBdr>
      <w:divsChild>
        <w:div w:id="1258367243">
          <w:marLeft w:val="0"/>
          <w:marRight w:val="0"/>
          <w:marTop w:val="0"/>
          <w:marBottom w:val="0"/>
          <w:divBdr>
            <w:top w:val="none" w:sz="0" w:space="0" w:color="auto"/>
            <w:left w:val="none" w:sz="0" w:space="0" w:color="auto"/>
            <w:bottom w:val="none" w:sz="0" w:space="0" w:color="auto"/>
            <w:right w:val="none" w:sz="0" w:space="0" w:color="auto"/>
          </w:divBdr>
          <w:divsChild>
            <w:div w:id="934367613">
              <w:marLeft w:val="0"/>
              <w:marRight w:val="0"/>
              <w:marTop w:val="0"/>
              <w:marBottom w:val="0"/>
              <w:divBdr>
                <w:top w:val="none" w:sz="0" w:space="0" w:color="auto"/>
                <w:left w:val="none" w:sz="0" w:space="0" w:color="auto"/>
                <w:bottom w:val="none" w:sz="0" w:space="0" w:color="auto"/>
                <w:right w:val="none" w:sz="0" w:space="0" w:color="auto"/>
              </w:divBdr>
              <w:divsChild>
                <w:div w:id="9181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4449">
      <w:bodyDiv w:val="1"/>
      <w:marLeft w:val="0"/>
      <w:marRight w:val="0"/>
      <w:marTop w:val="0"/>
      <w:marBottom w:val="0"/>
      <w:divBdr>
        <w:top w:val="none" w:sz="0" w:space="0" w:color="auto"/>
        <w:left w:val="none" w:sz="0" w:space="0" w:color="auto"/>
        <w:bottom w:val="none" w:sz="0" w:space="0" w:color="auto"/>
        <w:right w:val="none" w:sz="0" w:space="0" w:color="auto"/>
      </w:divBdr>
      <w:divsChild>
        <w:div w:id="25253521">
          <w:marLeft w:val="0"/>
          <w:marRight w:val="0"/>
          <w:marTop w:val="0"/>
          <w:marBottom w:val="0"/>
          <w:divBdr>
            <w:top w:val="none" w:sz="0" w:space="0" w:color="auto"/>
            <w:left w:val="none" w:sz="0" w:space="0" w:color="auto"/>
            <w:bottom w:val="none" w:sz="0" w:space="0" w:color="auto"/>
            <w:right w:val="none" w:sz="0" w:space="0" w:color="auto"/>
          </w:divBdr>
          <w:divsChild>
            <w:div w:id="1828130587">
              <w:marLeft w:val="0"/>
              <w:marRight w:val="0"/>
              <w:marTop w:val="0"/>
              <w:marBottom w:val="0"/>
              <w:divBdr>
                <w:top w:val="none" w:sz="0" w:space="0" w:color="auto"/>
                <w:left w:val="none" w:sz="0" w:space="0" w:color="auto"/>
                <w:bottom w:val="none" w:sz="0" w:space="0" w:color="auto"/>
                <w:right w:val="none" w:sz="0" w:space="0" w:color="auto"/>
              </w:divBdr>
              <w:divsChild>
                <w:div w:id="1208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3878">
      <w:bodyDiv w:val="1"/>
      <w:marLeft w:val="0"/>
      <w:marRight w:val="0"/>
      <w:marTop w:val="0"/>
      <w:marBottom w:val="0"/>
      <w:divBdr>
        <w:top w:val="none" w:sz="0" w:space="0" w:color="auto"/>
        <w:left w:val="none" w:sz="0" w:space="0" w:color="auto"/>
        <w:bottom w:val="none" w:sz="0" w:space="0" w:color="auto"/>
        <w:right w:val="none" w:sz="0" w:space="0" w:color="auto"/>
      </w:divBdr>
      <w:divsChild>
        <w:div w:id="1926038946">
          <w:marLeft w:val="0"/>
          <w:marRight w:val="0"/>
          <w:marTop w:val="0"/>
          <w:marBottom w:val="0"/>
          <w:divBdr>
            <w:top w:val="none" w:sz="0" w:space="0" w:color="auto"/>
            <w:left w:val="none" w:sz="0" w:space="0" w:color="auto"/>
            <w:bottom w:val="none" w:sz="0" w:space="0" w:color="auto"/>
            <w:right w:val="none" w:sz="0" w:space="0" w:color="auto"/>
          </w:divBdr>
          <w:divsChild>
            <w:div w:id="1972320700">
              <w:marLeft w:val="0"/>
              <w:marRight w:val="0"/>
              <w:marTop w:val="0"/>
              <w:marBottom w:val="0"/>
              <w:divBdr>
                <w:top w:val="none" w:sz="0" w:space="0" w:color="auto"/>
                <w:left w:val="none" w:sz="0" w:space="0" w:color="auto"/>
                <w:bottom w:val="none" w:sz="0" w:space="0" w:color="auto"/>
                <w:right w:val="none" w:sz="0" w:space="0" w:color="auto"/>
              </w:divBdr>
              <w:divsChild>
                <w:div w:id="4258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09456">
      <w:bodyDiv w:val="1"/>
      <w:marLeft w:val="0"/>
      <w:marRight w:val="0"/>
      <w:marTop w:val="0"/>
      <w:marBottom w:val="0"/>
      <w:divBdr>
        <w:top w:val="none" w:sz="0" w:space="0" w:color="auto"/>
        <w:left w:val="none" w:sz="0" w:space="0" w:color="auto"/>
        <w:bottom w:val="none" w:sz="0" w:space="0" w:color="auto"/>
        <w:right w:val="none" w:sz="0" w:space="0" w:color="auto"/>
      </w:divBdr>
      <w:divsChild>
        <w:div w:id="1667857294">
          <w:marLeft w:val="0"/>
          <w:marRight w:val="0"/>
          <w:marTop w:val="0"/>
          <w:marBottom w:val="0"/>
          <w:divBdr>
            <w:top w:val="none" w:sz="0" w:space="0" w:color="auto"/>
            <w:left w:val="none" w:sz="0" w:space="0" w:color="auto"/>
            <w:bottom w:val="none" w:sz="0" w:space="0" w:color="auto"/>
            <w:right w:val="none" w:sz="0" w:space="0" w:color="auto"/>
          </w:divBdr>
          <w:divsChild>
            <w:div w:id="753865215">
              <w:marLeft w:val="0"/>
              <w:marRight w:val="0"/>
              <w:marTop w:val="0"/>
              <w:marBottom w:val="0"/>
              <w:divBdr>
                <w:top w:val="none" w:sz="0" w:space="0" w:color="auto"/>
                <w:left w:val="none" w:sz="0" w:space="0" w:color="auto"/>
                <w:bottom w:val="none" w:sz="0" w:space="0" w:color="auto"/>
                <w:right w:val="none" w:sz="0" w:space="0" w:color="auto"/>
              </w:divBdr>
              <w:divsChild>
                <w:div w:id="15297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99079">
      <w:bodyDiv w:val="1"/>
      <w:marLeft w:val="0"/>
      <w:marRight w:val="0"/>
      <w:marTop w:val="0"/>
      <w:marBottom w:val="0"/>
      <w:divBdr>
        <w:top w:val="none" w:sz="0" w:space="0" w:color="auto"/>
        <w:left w:val="none" w:sz="0" w:space="0" w:color="auto"/>
        <w:bottom w:val="none" w:sz="0" w:space="0" w:color="auto"/>
        <w:right w:val="none" w:sz="0" w:space="0" w:color="auto"/>
      </w:divBdr>
      <w:divsChild>
        <w:div w:id="170335468">
          <w:marLeft w:val="0"/>
          <w:marRight w:val="0"/>
          <w:marTop w:val="0"/>
          <w:marBottom w:val="0"/>
          <w:divBdr>
            <w:top w:val="none" w:sz="0" w:space="0" w:color="auto"/>
            <w:left w:val="none" w:sz="0" w:space="0" w:color="auto"/>
            <w:bottom w:val="none" w:sz="0" w:space="0" w:color="auto"/>
            <w:right w:val="none" w:sz="0" w:space="0" w:color="auto"/>
          </w:divBdr>
          <w:divsChild>
            <w:div w:id="116531563">
              <w:marLeft w:val="0"/>
              <w:marRight w:val="0"/>
              <w:marTop w:val="0"/>
              <w:marBottom w:val="0"/>
              <w:divBdr>
                <w:top w:val="none" w:sz="0" w:space="0" w:color="auto"/>
                <w:left w:val="none" w:sz="0" w:space="0" w:color="auto"/>
                <w:bottom w:val="none" w:sz="0" w:space="0" w:color="auto"/>
                <w:right w:val="none" w:sz="0" w:space="0" w:color="auto"/>
              </w:divBdr>
              <w:divsChild>
                <w:div w:id="1693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7544">
      <w:bodyDiv w:val="1"/>
      <w:marLeft w:val="0"/>
      <w:marRight w:val="0"/>
      <w:marTop w:val="0"/>
      <w:marBottom w:val="0"/>
      <w:divBdr>
        <w:top w:val="none" w:sz="0" w:space="0" w:color="auto"/>
        <w:left w:val="none" w:sz="0" w:space="0" w:color="auto"/>
        <w:bottom w:val="none" w:sz="0" w:space="0" w:color="auto"/>
        <w:right w:val="none" w:sz="0" w:space="0" w:color="auto"/>
      </w:divBdr>
      <w:divsChild>
        <w:div w:id="606159567">
          <w:marLeft w:val="0"/>
          <w:marRight w:val="0"/>
          <w:marTop w:val="0"/>
          <w:marBottom w:val="0"/>
          <w:divBdr>
            <w:top w:val="none" w:sz="0" w:space="0" w:color="auto"/>
            <w:left w:val="none" w:sz="0" w:space="0" w:color="auto"/>
            <w:bottom w:val="none" w:sz="0" w:space="0" w:color="auto"/>
            <w:right w:val="none" w:sz="0" w:space="0" w:color="auto"/>
          </w:divBdr>
          <w:divsChild>
            <w:div w:id="590357888">
              <w:marLeft w:val="0"/>
              <w:marRight w:val="0"/>
              <w:marTop w:val="0"/>
              <w:marBottom w:val="0"/>
              <w:divBdr>
                <w:top w:val="none" w:sz="0" w:space="0" w:color="auto"/>
                <w:left w:val="none" w:sz="0" w:space="0" w:color="auto"/>
                <w:bottom w:val="none" w:sz="0" w:space="0" w:color="auto"/>
                <w:right w:val="none" w:sz="0" w:space="0" w:color="auto"/>
              </w:divBdr>
              <w:divsChild>
                <w:div w:id="3854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6162">
      <w:bodyDiv w:val="1"/>
      <w:marLeft w:val="0"/>
      <w:marRight w:val="0"/>
      <w:marTop w:val="0"/>
      <w:marBottom w:val="0"/>
      <w:divBdr>
        <w:top w:val="none" w:sz="0" w:space="0" w:color="auto"/>
        <w:left w:val="none" w:sz="0" w:space="0" w:color="auto"/>
        <w:bottom w:val="none" w:sz="0" w:space="0" w:color="auto"/>
        <w:right w:val="none" w:sz="0" w:space="0" w:color="auto"/>
      </w:divBdr>
      <w:divsChild>
        <w:div w:id="1952546446">
          <w:marLeft w:val="0"/>
          <w:marRight w:val="0"/>
          <w:marTop w:val="0"/>
          <w:marBottom w:val="0"/>
          <w:divBdr>
            <w:top w:val="none" w:sz="0" w:space="0" w:color="auto"/>
            <w:left w:val="none" w:sz="0" w:space="0" w:color="auto"/>
            <w:bottom w:val="none" w:sz="0" w:space="0" w:color="auto"/>
            <w:right w:val="none" w:sz="0" w:space="0" w:color="auto"/>
          </w:divBdr>
          <w:divsChild>
            <w:div w:id="2039620490">
              <w:marLeft w:val="0"/>
              <w:marRight w:val="0"/>
              <w:marTop w:val="0"/>
              <w:marBottom w:val="0"/>
              <w:divBdr>
                <w:top w:val="none" w:sz="0" w:space="0" w:color="auto"/>
                <w:left w:val="none" w:sz="0" w:space="0" w:color="auto"/>
                <w:bottom w:val="none" w:sz="0" w:space="0" w:color="auto"/>
                <w:right w:val="none" w:sz="0" w:space="0" w:color="auto"/>
              </w:divBdr>
              <w:divsChild>
                <w:div w:id="8207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30520">
      <w:bodyDiv w:val="1"/>
      <w:marLeft w:val="0"/>
      <w:marRight w:val="0"/>
      <w:marTop w:val="0"/>
      <w:marBottom w:val="0"/>
      <w:divBdr>
        <w:top w:val="none" w:sz="0" w:space="0" w:color="auto"/>
        <w:left w:val="none" w:sz="0" w:space="0" w:color="auto"/>
        <w:bottom w:val="none" w:sz="0" w:space="0" w:color="auto"/>
        <w:right w:val="none" w:sz="0" w:space="0" w:color="auto"/>
      </w:divBdr>
      <w:divsChild>
        <w:div w:id="1046443251">
          <w:marLeft w:val="0"/>
          <w:marRight w:val="0"/>
          <w:marTop w:val="0"/>
          <w:marBottom w:val="0"/>
          <w:divBdr>
            <w:top w:val="none" w:sz="0" w:space="0" w:color="auto"/>
            <w:left w:val="none" w:sz="0" w:space="0" w:color="auto"/>
            <w:bottom w:val="none" w:sz="0" w:space="0" w:color="auto"/>
            <w:right w:val="none" w:sz="0" w:space="0" w:color="auto"/>
          </w:divBdr>
          <w:divsChild>
            <w:div w:id="1483503269">
              <w:marLeft w:val="0"/>
              <w:marRight w:val="0"/>
              <w:marTop w:val="0"/>
              <w:marBottom w:val="0"/>
              <w:divBdr>
                <w:top w:val="none" w:sz="0" w:space="0" w:color="auto"/>
                <w:left w:val="none" w:sz="0" w:space="0" w:color="auto"/>
                <w:bottom w:val="none" w:sz="0" w:space="0" w:color="auto"/>
                <w:right w:val="none" w:sz="0" w:space="0" w:color="auto"/>
              </w:divBdr>
              <w:divsChild>
                <w:div w:id="14912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8510">
      <w:bodyDiv w:val="1"/>
      <w:marLeft w:val="0"/>
      <w:marRight w:val="0"/>
      <w:marTop w:val="0"/>
      <w:marBottom w:val="0"/>
      <w:divBdr>
        <w:top w:val="none" w:sz="0" w:space="0" w:color="auto"/>
        <w:left w:val="none" w:sz="0" w:space="0" w:color="auto"/>
        <w:bottom w:val="none" w:sz="0" w:space="0" w:color="auto"/>
        <w:right w:val="none" w:sz="0" w:space="0" w:color="auto"/>
      </w:divBdr>
      <w:divsChild>
        <w:div w:id="57675244">
          <w:marLeft w:val="0"/>
          <w:marRight w:val="0"/>
          <w:marTop w:val="0"/>
          <w:marBottom w:val="0"/>
          <w:divBdr>
            <w:top w:val="none" w:sz="0" w:space="0" w:color="auto"/>
            <w:left w:val="none" w:sz="0" w:space="0" w:color="auto"/>
            <w:bottom w:val="none" w:sz="0" w:space="0" w:color="auto"/>
            <w:right w:val="none" w:sz="0" w:space="0" w:color="auto"/>
          </w:divBdr>
          <w:divsChild>
            <w:div w:id="208961218">
              <w:marLeft w:val="0"/>
              <w:marRight w:val="0"/>
              <w:marTop w:val="0"/>
              <w:marBottom w:val="0"/>
              <w:divBdr>
                <w:top w:val="none" w:sz="0" w:space="0" w:color="auto"/>
                <w:left w:val="none" w:sz="0" w:space="0" w:color="auto"/>
                <w:bottom w:val="none" w:sz="0" w:space="0" w:color="auto"/>
                <w:right w:val="none" w:sz="0" w:space="0" w:color="auto"/>
              </w:divBdr>
              <w:divsChild>
                <w:div w:id="7326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7797">
      <w:bodyDiv w:val="1"/>
      <w:marLeft w:val="0"/>
      <w:marRight w:val="0"/>
      <w:marTop w:val="0"/>
      <w:marBottom w:val="0"/>
      <w:divBdr>
        <w:top w:val="none" w:sz="0" w:space="0" w:color="auto"/>
        <w:left w:val="none" w:sz="0" w:space="0" w:color="auto"/>
        <w:bottom w:val="none" w:sz="0" w:space="0" w:color="auto"/>
        <w:right w:val="none" w:sz="0" w:space="0" w:color="auto"/>
      </w:divBdr>
      <w:divsChild>
        <w:div w:id="32460867">
          <w:marLeft w:val="0"/>
          <w:marRight w:val="0"/>
          <w:marTop w:val="0"/>
          <w:marBottom w:val="0"/>
          <w:divBdr>
            <w:top w:val="none" w:sz="0" w:space="0" w:color="auto"/>
            <w:left w:val="none" w:sz="0" w:space="0" w:color="auto"/>
            <w:bottom w:val="none" w:sz="0" w:space="0" w:color="auto"/>
            <w:right w:val="none" w:sz="0" w:space="0" w:color="auto"/>
          </w:divBdr>
          <w:divsChild>
            <w:div w:id="1397700528">
              <w:marLeft w:val="0"/>
              <w:marRight w:val="0"/>
              <w:marTop w:val="0"/>
              <w:marBottom w:val="0"/>
              <w:divBdr>
                <w:top w:val="none" w:sz="0" w:space="0" w:color="auto"/>
                <w:left w:val="none" w:sz="0" w:space="0" w:color="auto"/>
                <w:bottom w:val="none" w:sz="0" w:space="0" w:color="auto"/>
                <w:right w:val="none" w:sz="0" w:space="0" w:color="auto"/>
              </w:divBdr>
              <w:divsChild>
                <w:div w:id="9508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54128">
      <w:bodyDiv w:val="1"/>
      <w:marLeft w:val="0"/>
      <w:marRight w:val="0"/>
      <w:marTop w:val="0"/>
      <w:marBottom w:val="0"/>
      <w:divBdr>
        <w:top w:val="none" w:sz="0" w:space="0" w:color="auto"/>
        <w:left w:val="none" w:sz="0" w:space="0" w:color="auto"/>
        <w:bottom w:val="none" w:sz="0" w:space="0" w:color="auto"/>
        <w:right w:val="none" w:sz="0" w:space="0" w:color="auto"/>
      </w:divBdr>
      <w:divsChild>
        <w:div w:id="333459320">
          <w:marLeft w:val="0"/>
          <w:marRight w:val="0"/>
          <w:marTop w:val="0"/>
          <w:marBottom w:val="0"/>
          <w:divBdr>
            <w:top w:val="none" w:sz="0" w:space="0" w:color="auto"/>
            <w:left w:val="none" w:sz="0" w:space="0" w:color="auto"/>
            <w:bottom w:val="none" w:sz="0" w:space="0" w:color="auto"/>
            <w:right w:val="none" w:sz="0" w:space="0" w:color="auto"/>
          </w:divBdr>
          <w:divsChild>
            <w:div w:id="1612122840">
              <w:marLeft w:val="0"/>
              <w:marRight w:val="0"/>
              <w:marTop w:val="0"/>
              <w:marBottom w:val="0"/>
              <w:divBdr>
                <w:top w:val="none" w:sz="0" w:space="0" w:color="auto"/>
                <w:left w:val="none" w:sz="0" w:space="0" w:color="auto"/>
                <w:bottom w:val="none" w:sz="0" w:space="0" w:color="auto"/>
                <w:right w:val="none" w:sz="0" w:space="0" w:color="auto"/>
              </w:divBdr>
              <w:divsChild>
                <w:div w:id="2769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4405">
      <w:bodyDiv w:val="1"/>
      <w:marLeft w:val="0"/>
      <w:marRight w:val="0"/>
      <w:marTop w:val="0"/>
      <w:marBottom w:val="0"/>
      <w:divBdr>
        <w:top w:val="none" w:sz="0" w:space="0" w:color="auto"/>
        <w:left w:val="none" w:sz="0" w:space="0" w:color="auto"/>
        <w:bottom w:val="none" w:sz="0" w:space="0" w:color="auto"/>
        <w:right w:val="none" w:sz="0" w:space="0" w:color="auto"/>
      </w:divBdr>
      <w:divsChild>
        <w:div w:id="301159808">
          <w:marLeft w:val="0"/>
          <w:marRight w:val="0"/>
          <w:marTop w:val="0"/>
          <w:marBottom w:val="0"/>
          <w:divBdr>
            <w:top w:val="none" w:sz="0" w:space="0" w:color="auto"/>
            <w:left w:val="none" w:sz="0" w:space="0" w:color="auto"/>
            <w:bottom w:val="none" w:sz="0" w:space="0" w:color="auto"/>
            <w:right w:val="none" w:sz="0" w:space="0" w:color="auto"/>
          </w:divBdr>
          <w:divsChild>
            <w:div w:id="257296882">
              <w:marLeft w:val="0"/>
              <w:marRight w:val="0"/>
              <w:marTop w:val="0"/>
              <w:marBottom w:val="0"/>
              <w:divBdr>
                <w:top w:val="none" w:sz="0" w:space="0" w:color="auto"/>
                <w:left w:val="none" w:sz="0" w:space="0" w:color="auto"/>
                <w:bottom w:val="none" w:sz="0" w:space="0" w:color="auto"/>
                <w:right w:val="none" w:sz="0" w:space="0" w:color="auto"/>
              </w:divBdr>
              <w:divsChild>
                <w:div w:id="2053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4093">
      <w:bodyDiv w:val="1"/>
      <w:marLeft w:val="0"/>
      <w:marRight w:val="0"/>
      <w:marTop w:val="0"/>
      <w:marBottom w:val="0"/>
      <w:divBdr>
        <w:top w:val="none" w:sz="0" w:space="0" w:color="auto"/>
        <w:left w:val="none" w:sz="0" w:space="0" w:color="auto"/>
        <w:bottom w:val="none" w:sz="0" w:space="0" w:color="auto"/>
        <w:right w:val="none" w:sz="0" w:space="0" w:color="auto"/>
      </w:divBdr>
      <w:divsChild>
        <w:div w:id="502816175">
          <w:marLeft w:val="0"/>
          <w:marRight w:val="0"/>
          <w:marTop w:val="0"/>
          <w:marBottom w:val="0"/>
          <w:divBdr>
            <w:top w:val="none" w:sz="0" w:space="0" w:color="auto"/>
            <w:left w:val="none" w:sz="0" w:space="0" w:color="auto"/>
            <w:bottom w:val="none" w:sz="0" w:space="0" w:color="auto"/>
            <w:right w:val="none" w:sz="0" w:space="0" w:color="auto"/>
          </w:divBdr>
          <w:divsChild>
            <w:div w:id="412431588">
              <w:marLeft w:val="0"/>
              <w:marRight w:val="0"/>
              <w:marTop w:val="0"/>
              <w:marBottom w:val="0"/>
              <w:divBdr>
                <w:top w:val="none" w:sz="0" w:space="0" w:color="auto"/>
                <w:left w:val="none" w:sz="0" w:space="0" w:color="auto"/>
                <w:bottom w:val="none" w:sz="0" w:space="0" w:color="auto"/>
                <w:right w:val="none" w:sz="0" w:space="0" w:color="auto"/>
              </w:divBdr>
              <w:divsChild>
                <w:div w:id="976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174">
      <w:bodyDiv w:val="1"/>
      <w:marLeft w:val="0"/>
      <w:marRight w:val="0"/>
      <w:marTop w:val="0"/>
      <w:marBottom w:val="0"/>
      <w:divBdr>
        <w:top w:val="none" w:sz="0" w:space="0" w:color="auto"/>
        <w:left w:val="none" w:sz="0" w:space="0" w:color="auto"/>
        <w:bottom w:val="none" w:sz="0" w:space="0" w:color="auto"/>
        <w:right w:val="none" w:sz="0" w:space="0" w:color="auto"/>
      </w:divBdr>
    </w:div>
    <w:div w:id="949969085">
      <w:bodyDiv w:val="1"/>
      <w:marLeft w:val="0"/>
      <w:marRight w:val="0"/>
      <w:marTop w:val="0"/>
      <w:marBottom w:val="0"/>
      <w:divBdr>
        <w:top w:val="none" w:sz="0" w:space="0" w:color="auto"/>
        <w:left w:val="none" w:sz="0" w:space="0" w:color="auto"/>
        <w:bottom w:val="none" w:sz="0" w:space="0" w:color="auto"/>
        <w:right w:val="none" w:sz="0" w:space="0" w:color="auto"/>
      </w:divBdr>
      <w:divsChild>
        <w:div w:id="2025548112">
          <w:marLeft w:val="0"/>
          <w:marRight w:val="0"/>
          <w:marTop w:val="0"/>
          <w:marBottom w:val="0"/>
          <w:divBdr>
            <w:top w:val="none" w:sz="0" w:space="0" w:color="auto"/>
            <w:left w:val="none" w:sz="0" w:space="0" w:color="auto"/>
            <w:bottom w:val="none" w:sz="0" w:space="0" w:color="auto"/>
            <w:right w:val="none" w:sz="0" w:space="0" w:color="auto"/>
          </w:divBdr>
          <w:divsChild>
            <w:div w:id="568271617">
              <w:marLeft w:val="0"/>
              <w:marRight w:val="0"/>
              <w:marTop w:val="0"/>
              <w:marBottom w:val="0"/>
              <w:divBdr>
                <w:top w:val="none" w:sz="0" w:space="0" w:color="auto"/>
                <w:left w:val="none" w:sz="0" w:space="0" w:color="auto"/>
                <w:bottom w:val="none" w:sz="0" w:space="0" w:color="auto"/>
                <w:right w:val="none" w:sz="0" w:space="0" w:color="auto"/>
              </w:divBdr>
              <w:divsChild>
                <w:div w:id="1855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3485">
      <w:bodyDiv w:val="1"/>
      <w:marLeft w:val="0"/>
      <w:marRight w:val="0"/>
      <w:marTop w:val="0"/>
      <w:marBottom w:val="0"/>
      <w:divBdr>
        <w:top w:val="none" w:sz="0" w:space="0" w:color="auto"/>
        <w:left w:val="none" w:sz="0" w:space="0" w:color="auto"/>
        <w:bottom w:val="none" w:sz="0" w:space="0" w:color="auto"/>
        <w:right w:val="none" w:sz="0" w:space="0" w:color="auto"/>
      </w:divBdr>
      <w:divsChild>
        <w:div w:id="1023289548">
          <w:marLeft w:val="0"/>
          <w:marRight w:val="0"/>
          <w:marTop w:val="0"/>
          <w:marBottom w:val="0"/>
          <w:divBdr>
            <w:top w:val="none" w:sz="0" w:space="0" w:color="auto"/>
            <w:left w:val="none" w:sz="0" w:space="0" w:color="auto"/>
            <w:bottom w:val="none" w:sz="0" w:space="0" w:color="auto"/>
            <w:right w:val="none" w:sz="0" w:space="0" w:color="auto"/>
          </w:divBdr>
          <w:divsChild>
            <w:div w:id="1789078216">
              <w:marLeft w:val="0"/>
              <w:marRight w:val="0"/>
              <w:marTop w:val="0"/>
              <w:marBottom w:val="0"/>
              <w:divBdr>
                <w:top w:val="none" w:sz="0" w:space="0" w:color="auto"/>
                <w:left w:val="none" w:sz="0" w:space="0" w:color="auto"/>
                <w:bottom w:val="none" w:sz="0" w:space="0" w:color="auto"/>
                <w:right w:val="none" w:sz="0" w:space="0" w:color="auto"/>
              </w:divBdr>
              <w:divsChild>
                <w:div w:id="15520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55615">
      <w:bodyDiv w:val="1"/>
      <w:marLeft w:val="0"/>
      <w:marRight w:val="0"/>
      <w:marTop w:val="0"/>
      <w:marBottom w:val="0"/>
      <w:divBdr>
        <w:top w:val="none" w:sz="0" w:space="0" w:color="auto"/>
        <w:left w:val="none" w:sz="0" w:space="0" w:color="auto"/>
        <w:bottom w:val="none" w:sz="0" w:space="0" w:color="auto"/>
        <w:right w:val="none" w:sz="0" w:space="0" w:color="auto"/>
      </w:divBdr>
      <w:divsChild>
        <w:div w:id="2120025240">
          <w:marLeft w:val="0"/>
          <w:marRight w:val="0"/>
          <w:marTop w:val="0"/>
          <w:marBottom w:val="0"/>
          <w:divBdr>
            <w:top w:val="none" w:sz="0" w:space="0" w:color="auto"/>
            <w:left w:val="none" w:sz="0" w:space="0" w:color="auto"/>
            <w:bottom w:val="none" w:sz="0" w:space="0" w:color="auto"/>
            <w:right w:val="none" w:sz="0" w:space="0" w:color="auto"/>
          </w:divBdr>
          <w:divsChild>
            <w:div w:id="1466970559">
              <w:marLeft w:val="0"/>
              <w:marRight w:val="0"/>
              <w:marTop w:val="0"/>
              <w:marBottom w:val="0"/>
              <w:divBdr>
                <w:top w:val="none" w:sz="0" w:space="0" w:color="auto"/>
                <w:left w:val="none" w:sz="0" w:space="0" w:color="auto"/>
                <w:bottom w:val="none" w:sz="0" w:space="0" w:color="auto"/>
                <w:right w:val="none" w:sz="0" w:space="0" w:color="auto"/>
              </w:divBdr>
              <w:divsChild>
                <w:div w:id="14877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580">
      <w:bodyDiv w:val="1"/>
      <w:marLeft w:val="0"/>
      <w:marRight w:val="0"/>
      <w:marTop w:val="0"/>
      <w:marBottom w:val="0"/>
      <w:divBdr>
        <w:top w:val="none" w:sz="0" w:space="0" w:color="auto"/>
        <w:left w:val="none" w:sz="0" w:space="0" w:color="auto"/>
        <w:bottom w:val="none" w:sz="0" w:space="0" w:color="auto"/>
        <w:right w:val="none" w:sz="0" w:space="0" w:color="auto"/>
      </w:divBdr>
      <w:divsChild>
        <w:div w:id="1421828695">
          <w:marLeft w:val="0"/>
          <w:marRight w:val="0"/>
          <w:marTop w:val="0"/>
          <w:marBottom w:val="0"/>
          <w:divBdr>
            <w:top w:val="none" w:sz="0" w:space="0" w:color="auto"/>
            <w:left w:val="none" w:sz="0" w:space="0" w:color="auto"/>
            <w:bottom w:val="none" w:sz="0" w:space="0" w:color="auto"/>
            <w:right w:val="none" w:sz="0" w:space="0" w:color="auto"/>
          </w:divBdr>
          <w:divsChild>
            <w:div w:id="34039500">
              <w:marLeft w:val="0"/>
              <w:marRight w:val="0"/>
              <w:marTop w:val="0"/>
              <w:marBottom w:val="0"/>
              <w:divBdr>
                <w:top w:val="none" w:sz="0" w:space="0" w:color="auto"/>
                <w:left w:val="none" w:sz="0" w:space="0" w:color="auto"/>
                <w:bottom w:val="none" w:sz="0" w:space="0" w:color="auto"/>
                <w:right w:val="none" w:sz="0" w:space="0" w:color="auto"/>
              </w:divBdr>
              <w:divsChild>
                <w:div w:id="17783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3038">
      <w:bodyDiv w:val="1"/>
      <w:marLeft w:val="0"/>
      <w:marRight w:val="0"/>
      <w:marTop w:val="0"/>
      <w:marBottom w:val="0"/>
      <w:divBdr>
        <w:top w:val="none" w:sz="0" w:space="0" w:color="auto"/>
        <w:left w:val="none" w:sz="0" w:space="0" w:color="auto"/>
        <w:bottom w:val="none" w:sz="0" w:space="0" w:color="auto"/>
        <w:right w:val="none" w:sz="0" w:space="0" w:color="auto"/>
      </w:divBdr>
      <w:divsChild>
        <w:div w:id="24451072">
          <w:marLeft w:val="0"/>
          <w:marRight w:val="0"/>
          <w:marTop w:val="0"/>
          <w:marBottom w:val="0"/>
          <w:divBdr>
            <w:top w:val="none" w:sz="0" w:space="0" w:color="auto"/>
            <w:left w:val="none" w:sz="0" w:space="0" w:color="auto"/>
            <w:bottom w:val="none" w:sz="0" w:space="0" w:color="auto"/>
            <w:right w:val="none" w:sz="0" w:space="0" w:color="auto"/>
          </w:divBdr>
          <w:divsChild>
            <w:div w:id="1393043335">
              <w:marLeft w:val="0"/>
              <w:marRight w:val="0"/>
              <w:marTop w:val="0"/>
              <w:marBottom w:val="0"/>
              <w:divBdr>
                <w:top w:val="none" w:sz="0" w:space="0" w:color="auto"/>
                <w:left w:val="none" w:sz="0" w:space="0" w:color="auto"/>
                <w:bottom w:val="none" w:sz="0" w:space="0" w:color="auto"/>
                <w:right w:val="none" w:sz="0" w:space="0" w:color="auto"/>
              </w:divBdr>
              <w:divsChild>
                <w:div w:id="15231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2544">
      <w:bodyDiv w:val="1"/>
      <w:marLeft w:val="0"/>
      <w:marRight w:val="0"/>
      <w:marTop w:val="0"/>
      <w:marBottom w:val="0"/>
      <w:divBdr>
        <w:top w:val="none" w:sz="0" w:space="0" w:color="auto"/>
        <w:left w:val="none" w:sz="0" w:space="0" w:color="auto"/>
        <w:bottom w:val="none" w:sz="0" w:space="0" w:color="auto"/>
        <w:right w:val="none" w:sz="0" w:space="0" w:color="auto"/>
      </w:divBdr>
      <w:divsChild>
        <w:div w:id="1077097741">
          <w:marLeft w:val="0"/>
          <w:marRight w:val="0"/>
          <w:marTop w:val="0"/>
          <w:marBottom w:val="0"/>
          <w:divBdr>
            <w:top w:val="none" w:sz="0" w:space="0" w:color="auto"/>
            <w:left w:val="none" w:sz="0" w:space="0" w:color="auto"/>
            <w:bottom w:val="none" w:sz="0" w:space="0" w:color="auto"/>
            <w:right w:val="none" w:sz="0" w:space="0" w:color="auto"/>
          </w:divBdr>
          <w:divsChild>
            <w:div w:id="345057137">
              <w:marLeft w:val="0"/>
              <w:marRight w:val="0"/>
              <w:marTop w:val="0"/>
              <w:marBottom w:val="0"/>
              <w:divBdr>
                <w:top w:val="none" w:sz="0" w:space="0" w:color="auto"/>
                <w:left w:val="none" w:sz="0" w:space="0" w:color="auto"/>
                <w:bottom w:val="none" w:sz="0" w:space="0" w:color="auto"/>
                <w:right w:val="none" w:sz="0" w:space="0" w:color="auto"/>
              </w:divBdr>
              <w:divsChild>
                <w:div w:id="8558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8416">
      <w:bodyDiv w:val="1"/>
      <w:marLeft w:val="0"/>
      <w:marRight w:val="0"/>
      <w:marTop w:val="0"/>
      <w:marBottom w:val="0"/>
      <w:divBdr>
        <w:top w:val="none" w:sz="0" w:space="0" w:color="auto"/>
        <w:left w:val="none" w:sz="0" w:space="0" w:color="auto"/>
        <w:bottom w:val="none" w:sz="0" w:space="0" w:color="auto"/>
        <w:right w:val="none" w:sz="0" w:space="0" w:color="auto"/>
      </w:divBdr>
    </w:div>
    <w:div w:id="1053233027">
      <w:bodyDiv w:val="1"/>
      <w:marLeft w:val="0"/>
      <w:marRight w:val="0"/>
      <w:marTop w:val="0"/>
      <w:marBottom w:val="0"/>
      <w:divBdr>
        <w:top w:val="none" w:sz="0" w:space="0" w:color="auto"/>
        <w:left w:val="none" w:sz="0" w:space="0" w:color="auto"/>
        <w:bottom w:val="none" w:sz="0" w:space="0" w:color="auto"/>
        <w:right w:val="none" w:sz="0" w:space="0" w:color="auto"/>
      </w:divBdr>
      <w:divsChild>
        <w:div w:id="222572142">
          <w:marLeft w:val="0"/>
          <w:marRight w:val="0"/>
          <w:marTop w:val="0"/>
          <w:marBottom w:val="0"/>
          <w:divBdr>
            <w:top w:val="none" w:sz="0" w:space="0" w:color="auto"/>
            <w:left w:val="none" w:sz="0" w:space="0" w:color="auto"/>
            <w:bottom w:val="none" w:sz="0" w:space="0" w:color="auto"/>
            <w:right w:val="none" w:sz="0" w:space="0" w:color="auto"/>
          </w:divBdr>
          <w:divsChild>
            <w:div w:id="1380006866">
              <w:marLeft w:val="0"/>
              <w:marRight w:val="0"/>
              <w:marTop w:val="0"/>
              <w:marBottom w:val="0"/>
              <w:divBdr>
                <w:top w:val="none" w:sz="0" w:space="0" w:color="auto"/>
                <w:left w:val="none" w:sz="0" w:space="0" w:color="auto"/>
                <w:bottom w:val="none" w:sz="0" w:space="0" w:color="auto"/>
                <w:right w:val="none" w:sz="0" w:space="0" w:color="auto"/>
              </w:divBdr>
              <w:divsChild>
                <w:div w:id="17113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56836">
      <w:bodyDiv w:val="1"/>
      <w:marLeft w:val="0"/>
      <w:marRight w:val="0"/>
      <w:marTop w:val="0"/>
      <w:marBottom w:val="0"/>
      <w:divBdr>
        <w:top w:val="none" w:sz="0" w:space="0" w:color="auto"/>
        <w:left w:val="none" w:sz="0" w:space="0" w:color="auto"/>
        <w:bottom w:val="none" w:sz="0" w:space="0" w:color="auto"/>
        <w:right w:val="none" w:sz="0" w:space="0" w:color="auto"/>
      </w:divBdr>
      <w:divsChild>
        <w:div w:id="244926557">
          <w:marLeft w:val="0"/>
          <w:marRight w:val="0"/>
          <w:marTop w:val="0"/>
          <w:marBottom w:val="0"/>
          <w:divBdr>
            <w:top w:val="none" w:sz="0" w:space="0" w:color="auto"/>
            <w:left w:val="none" w:sz="0" w:space="0" w:color="auto"/>
            <w:bottom w:val="none" w:sz="0" w:space="0" w:color="auto"/>
            <w:right w:val="none" w:sz="0" w:space="0" w:color="auto"/>
          </w:divBdr>
          <w:divsChild>
            <w:div w:id="234172993">
              <w:marLeft w:val="0"/>
              <w:marRight w:val="0"/>
              <w:marTop w:val="0"/>
              <w:marBottom w:val="0"/>
              <w:divBdr>
                <w:top w:val="none" w:sz="0" w:space="0" w:color="auto"/>
                <w:left w:val="none" w:sz="0" w:space="0" w:color="auto"/>
                <w:bottom w:val="none" w:sz="0" w:space="0" w:color="auto"/>
                <w:right w:val="none" w:sz="0" w:space="0" w:color="auto"/>
              </w:divBdr>
              <w:divsChild>
                <w:div w:id="9323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37299">
      <w:bodyDiv w:val="1"/>
      <w:marLeft w:val="0"/>
      <w:marRight w:val="0"/>
      <w:marTop w:val="0"/>
      <w:marBottom w:val="0"/>
      <w:divBdr>
        <w:top w:val="none" w:sz="0" w:space="0" w:color="auto"/>
        <w:left w:val="none" w:sz="0" w:space="0" w:color="auto"/>
        <w:bottom w:val="none" w:sz="0" w:space="0" w:color="auto"/>
        <w:right w:val="none" w:sz="0" w:space="0" w:color="auto"/>
      </w:divBdr>
      <w:divsChild>
        <w:div w:id="290602143">
          <w:marLeft w:val="0"/>
          <w:marRight w:val="0"/>
          <w:marTop w:val="0"/>
          <w:marBottom w:val="0"/>
          <w:divBdr>
            <w:top w:val="none" w:sz="0" w:space="0" w:color="auto"/>
            <w:left w:val="none" w:sz="0" w:space="0" w:color="auto"/>
            <w:bottom w:val="none" w:sz="0" w:space="0" w:color="auto"/>
            <w:right w:val="none" w:sz="0" w:space="0" w:color="auto"/>
          </w:divBdr>
          <w:divsChild>
            <w:div w:id="1580209077">
              <w:marLeft w:val="0"/>
              <w:marRight w:val="0"/>
              <w:marTop w:val="0"/>
              <w:marBottom w:val="0"/>
              <w:divBdr>
                <w:top w:val="none" w:sz="0" w:space="0" w:color="auto"/>
                <w:left w:val="none" w:sz="0" w:space="0" w:color="auto"/>
                <w:bottom w:val="none" w:sz="0" w:space="0" w:color="auto"/>
                <w:right w:val="none" w:sz="0" w:space="0" w:color="auto"/>
              </w:divBdr>
              <w:divsChild>
                <w:div w:id="5044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41744">
      <w:bodyDiv w:val="1"/>
      <w:marLeft w:val="0"/>
      <w:marRight w:val="0"/>
      <w:marTop w:val="0"/>
      <w:marBottom w:val="0"/>
      <w:divBdr>
        <w:top w:val="none" w:sz="0" w:space="0" w:color="auto"/>
        <w:left w:val="none" w:sz="0" w:space="0" w:color="auto"/>
        <w:bottom w:val="none" w:sz="0" w:space="0" w:color="auto"/>
        <w:right w:val="none" w:sz="0" w:space="0" w:color="auto"/>
      </w:divBdr>
      <w:divsChild>
        <w:div w:id="445581564">
          <w:marLeft w:val="0"/>
          <w:marRight w:val="0"/>
          <w:marTop w:val="0"/>
          <w:marBottom w:val="0"/>
          <w:divBdr>
            <w:top w:val="none" w:sz="0" w:space="0" w:color="auto"/>
            <w:left w:val="none" w:sz="0" w:space="0" w:color="auto"/>
            <w:bottom w:val="none" w:sz="0" w:space="0" w:color="auto"/>
            <w:right w:val="none" w:sz="0" w:space="0" w:color="auto"/>
          </w:divBdr>
          <w:divsChild>
            <w:div w:id="257906258">
              <w:marLeft w:val="0"/>
              <w:marRight w:val="0"/>
              <w:marTop w:val="0"/>
              <w:marBottom w:val="0"/>
              <w:divBdr>
                <w:top w:val="none" w:sz="0" w:space="0" w:color="auto"/>
                <w:left w:val="none" w:sz="0" w:space="0" w:color="auto"/>
                <w:bottom w:val="none" w:sz="0" w:space="0" w:color="auto"/>
                <w:right w:val="none" w:sz="0" w:space="0" w:color="auto"/>
              </w:divBdr>
              <w:divsChild>
                <w:div w:id="19508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3441">
      <w:bodyDiv w:val="1"/>
      <w:marLeft w:val="0"/>
      <w:marRight w:val="0"/>
      <w:marTop w:val="0"/>
      <w:marBottom w:val="0"/>
      <w:divBdr>
        <w:top w:val="none" w:sz="0" w:space="0" w:color="auto"/>
        <w:left w:val="none" w:sz="0" w:space="0" w:color="auto"/>
        <w:bottom w:val="none" w:sz="0" w:space="0" w:color="auto"/>
        <w:right w:val="none" w:sz="0" w:space="0" w:color="auto"/>
      </w:divBdr>
      <w:divsChild>
        <w:div w:id="170603302">
          <w:marLeft w:val="0"/>
          <w:marRight w:val="0"/>
          <w:marTop w:val="0"/>
          <w:marBottom w:val="0"/>
          <w:divBdr>
            <w:top w:val="none" w:sz="0" w:space="0" w:color="auto"/>
            <w:left w:val="none" w:sz="0" w:space="0" w:color="auto"/>
            <w:bottom w:val="none" w:sz="0" w:space="0" w:color="auto"/>
            <w:right w:val="none" w:sz="0" w:space="0" w:color="auto"/>
          </w:divBdr>
          <w:divsChild>
            <w:div w:id="1395085631">
              <w:marLeft w:val="0"/>
              <w:marRight w:val="0"/>
              <w:marTop w:val="0"/>
              <w:marBottom w:val="0"/>
              <w:divBdr>
                <w:top w:val="none" w:sz="0" w:space="0" w:color="auto"/>
                <w:left w:val="none" w:sz="0" w:space="0" w:color="auto"/>
                <w:bottom w:val="none" w:sz="0" w:space="0" w:color="auto"/>
                <w:right w:val="none" w:sz="0" w:space="0" w:color="auto"/>
              </w:divBdr>
              <w:divsChild>
                <w:div w:id="14395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3700">
      <w:bodyDiv w:val="1"/>
      <w:marLeft w:val="0"/>
      <w:marRight w:val="0"/>
      <w:marTop w:val="0"/>
      <w:marBottom w:val="0"/>
      <w:divBdr>
        <w:top w:val="none" w:sz="0" w:space="0" w:color="auto"/>
        <w:left w:val="none" w:sz="0" w:space="0" w:color="auto"/>
        <w:bottom w:val="none" w:sz="0" w:space="0" w:color="auto"/>
        <w:right w:val="none" w:sz="0" w:space="0" w:color="auto"/>
      </w:divBdr>
      <w:divsChild>
        <w:div w:id="59602744">
          <w:marLeft w:val="0"/>
          <w:marRight w:val="0"/>
          <w:marTop w:val="0"/>
          <w:marBottom w:val="0"/>
          <w:divBdr>
            <w:top w:val="none" w:sz="0" w:space="0" w:color="auto"/>
            <w:left w:val="none" w:sz="0" w:space="0" w:color="auto"/>
            <w:bottom w:val="none" w:sz="0" w:space="0" w:color="auto"/>
            <w:right w:val="none" w:sz="0" w:space="0" w:color="auto"/>
          </w:divBdr>
          <w:divsChild>
            <w:div w:id="1973167954">
              <w:marLeft w:val="0"/>
              <w:marRight w:val="0"/>
              <w:marTop w:val="0"/>
              <w:marBottom w:val="0"/>
              <w:divBdr>
                <w:top w:val="none" w:sz="0" w:space="0" w:color="auto"/>
                <w:left w:val="none" w:sz="0" w:space="0" w:color="auto"/>
                <w:bottom w:val="none" w:sz="0" w:space="0" w:color="auto"/>
                <w:right w:val="none" w:sz="0" w:space="0" w:color="auto"/>
              </w:divBdr>
              <w:divsChild>
                <w:div w:id="13000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32943">
      <w:bodyDiv w:val="1"/>
      <w:marLeft w:val="0"/>
      <w:marRight w:val="0"/>
      <w:marTop w:val="0"/>
      <w:marBottom w:val="0"/>
      <w:divBdr>
        <w:top w:val="none" w:sz="0" w:space="0" w:color="auto"/>
        <w:left w:val="none" w:sz="0" w:space="0" w:color="auto"/>
        <w:bottom w:val="none" w:sz="0" w:space="0" w:color="auto"/>
        <w:right w:val="none" w:sz="0" w:space="0" w:color="auto"/>
      </w:divBdr>
      <w:divsChild>
        <w:div w:id="409692189">
          <w:marLeft w:val="0"/>
          <w:marRight w:val="0"/>
          <w:marTop w:val="0"/>
          <w:marBottom w:val="0"/>
          <w:divBdr>
            <w:top w:val="none" w:sz="0" w:space="0" w:color="auto"/>
            <w:left w:val="none" w:sz="0" w:space="0" w:color="auto"/>
            <w:bottom w:val="none" w:sz="0" w:space="0" w:color="auto"/>
            <w:right w:val="none" w:sz="0" w:space="0" w:color="auto"/>
          </w:divBdr>
          <w:divsChild>
            <w:div w:id="420880834">
              <w:marLeft w:val="0"/>
              <w:marRight w:val="0"/>
              <w:marTop w:val="0"/>
              <w:marBottom w:val="0"/>
              <w:divBdr>
                <w:top w:val="none" w:sz="0" w:space="0" w:color="auto"/>
                <w:left w:val="none" w:sz="0" w:space="0" w:color="auto"/>
                <w:bottom w:val="none" w:sz="0" w:space="0" w:color="auto"/>
                <w:right w:val="none" w:sz="0" w:space="0" w:color="auto"/>
              </w:divBdr>
              <w:divsChild>
                <w:div w:id="16616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6606">
      <w:bodyDiv w:val="1"/>
      <w:marLeft w:val="0"/>
      <w:marRight w:val="0"/>
      <w:marTop w:val="0"/>
      <w:marBottom w:val="0"/>
      <w:divBdr>
        <w:top w:val="none" w:sz="0" w:space="0" w:color="auto"/>
        <w:left w:val="none" w:sz="0" w:space="0" w:color="auto"/>
        <w:bottom w:val="none" w:sz="0" w:space="0" w:color="auto"/>
        <w:right w:val="none" w:sz="0" w:space="0" w:color="auto"/>
      </w:divBdr>
      <w:divsChild>
        <w:div w:id="1096444607">
          <w:marLeft w:val="0"/>
          <w:marRight w:val="0"/>
          <w:marTop w:val="0"/>
          <w:marBottom w:val="0"/>
          <w:divBdr>
            <w:top w:val="none" w:sz="0" w:space="0" w:color="auto"/>
            <w:left w:val="none" w:sz="0" w:space="0" w:color="auto"/>
            <w:bottom w:val="none" w:sz="0" w:space="0" w:color="auto"/>
            <w:right w:val="none" w:sz="0" w:space="0" w:color="auto"/>
          </w:divBdr>
          <w:divsChild>
            <w:div w:id="1906181786">
              <w:marLeft w:val="0"/>
              <w:marRight w:val="0"/>
              <w:marTop w:val="0"/>
              <w:marBottom w:val="0"/>
              <w:divBdr>
                <w:top w:val="none" w:sz="0" w:space="0" w:color="auto"/>
                <w:left w:val="none" w:sz="0" w:space="0" w:color="auto"/>
                <w:bottom w:val="none" w:sz="0" w:space="0" w:color="auto"/>
                <w:right w:val="none" w:sz="0" w:space="0" w:color="auto"/>
              </w:divBdr>
              <w:divsChild>
                <w:div w:id="1444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29">
      <w:bodyDiv w:val="1"/>
      <w:marLeft w:val="0"/>
      <w:marRight w:val="0"/>
      <w:marTop w:val="0"/>
      <w:marBottom w:val="0"/>
      <w:divBdr>
        <w:top w:val="none" w:sz="0" w:space="0" w:color="auto"/>
        <w:left w:val="none" w:sz="0" w:space="0" w:color="auto"/>
        <w:bottom w:val="none" w:sz="0" w:space="0" w:color="auto"/>
        <w:right w:val="none" w:sz="0" w:space="0" w:color="auto"/>
      </w:divBdr>
      <w:divsChild>
        <w:div w:id="2005935936">
          <w:marLeft w:val="0"/>
          <w:marRight w:val="0"/>
          <w:marTop w:val="0"/>
          <w:marBottom w:val="0"/>
          <w:divBdr>
            <w:top w:val="none" w:sz="0" w:space="0" w:color="auto"/>
            <w:left w:val="none" w:sz="0" w:space="0" w:color="auto"/>
            <w:bottom w:val="none" w:sz="0" w:space="0" w:color="auto"/>
            <w:right w:val="none" w:sz="0" w:space="0" w:color="auto"/>
          </w:divBdr>
          <w:divsChild>
            <w:div w:id="16080188">
              <w:marLeft w:val="0"/>
              <w:marRight w:val="0"/>
              <w:marTop w:val="0"/>
              <w:marBottom w:val="0"/>
              <w:divBdr>
                <w:top w:val="none" w:sz="0" w:space="0" w:color="auto"/>
                <w:left w:val="none" w:sz="0" w:space="0" w:color="auto"/>
                <w:bottom w:val="none" w:sz="0" w:space="0" w:color="auto"/>
                <w:right w:val="none" w:sz="0" w:space="0" w:color="auto"/>
              </w:divBdr>
              <w:divsChild>
                <w:div w:id="8502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82784">
      <w:bodyDiv w:val="1"/>
      <w:marLeft w:val="0"/>
      <w:marRight w:val="0"/>
      <w:marTop w:val="0"/>
      <w:marBottom w:val="0"/>
      <w:divBdr>
        <w:top w:val="none" w:sz="0" w:space="0" w:color="auto"/>
        <w:left w:val="none" w:sz="0" w:space="0" w:color="auto"/>
        <w:bottom w:val="none" w:sz="0" w:space="0" w:color="auto"/>
        <w:right w:val="none" w:sz="0" w:space="0" w:color="auto"/>
      </w:divBdr>
      <w:divsChild>
        <w:div w:id="873466099">
          <w:marLeft w:val="0"/>
          <w:marRight w:val="0"/>
          <w:marTop w:val="0"/>
          <w:marBottom w:val="0"/>
          <w:divBdr>
            <w:top w:val="none" w:sz="0" w:space="0" w:color="auto"/>
            <w:left w:val="none" w:sz="0" w:space="0" w:color="auto"/>
            <w:bottom w:val="none" w:sz="0" w:space="0" w:color="auto"/>
            <w:right w:val="none" w:sz="0" w:space="0" w:color="auto"/>
          </w:divBdr>
          <w:divsChild>
            <w:div w:id="1335231256">
              <w:marLeft w:val="0"/>
              <w:marRight w:val="0"/>
              <w:marTop w:val="0"/>
              <w:marBottom w:val="0"/>
              <w:divBdr>
                <w:top w:val="none" w:sz="0" w:space="0" w:color="auto"/>
                <w:left w:val="none" w:sz="0" w:space="0" w:color="auto"/>
                <w:bottom w:val="none" w:sz="0" w:space="0" w:color="auto"/>
                <w:right w:val="none" w:sz="0" w:space="0" w:color="auto"/>
              </w:divBdr>
              <w:divsChild>
                <w:div w:id="12573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0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395">
          <w:marLeft w:val="0"/>
          <w:marRight w:val="0"/>
          <w:marTop w:val="0"/>
          <w:marBottom w:val="0"/>
          <w:divBdr>
            <w:top w:val="none" w:sz="0" w:space="0" w:color="auto"/>
            <w:left w:val="none" w:sz="0" w:space="0" w:color="auto"/>
            <w:bottom w:val="none" w:sz="0" w:space="0" w:color="auto"/>
            <w:right w:val="none" w:sz="0" w:space="0" w:color="auto"/>
          </w:divBdr>
          <w:divsChild>
            <w:div w:id="492575507">
              <w:marLeft w:val="0"/>
              <w:marRight w:val="0"/>
              <w:marTop w:val="0"/>
              <w:marBottom w:val="0"/>
              <w:divBdr>
                <w:top w:val="none" w:sz="0" w:space="0" w:color="auto"/>
                <w:left w:val="none" w:sz="0" w:space="0" w:color="auto"/>
                <w:bottom w:val="none" w:sz="0" w:space="0" w:color="auto"/>
                <w:right w:val="none" w:sz="0" w:space="0" w:color="auto"/>
              </w:divBdr>
              <w:divsChild>
                <w:div w:id="3080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7411">
      <w:bodyDiv w:val="1"/>
      <w:marLeft w:val="0"/>
      <w:marRight w:val="0"/>
      <w:marTop w:val="0"/>
      <w:marBottom w:val="0"/>
      <w:divBdr>
        <w:top w:val="none" w:sz="0" w:space="0" w:color="auto"/>
        <w:left w:val="none" w:sz="0" w:space="0" w:color="auto"/>
        <w:bottom w:val="none" w:sz="0" w:space="0" w:color="auto"/>
        <w:right w:val="none" w:sz="0" w:space="0" w:color="auto"/>
      </w:divBdr>
      <w:divsChild>
        <w:div w:id="1771315564">
          <w:marLeft w:val="0"/>
          <w:marRight w:val="0"/>
          <w:marTop w:val="0"/>
          <w:marBottom w:val="0"/>
          <w:divBdr>
            <w:top w:val="none" w:sz="0" w:space="0" w:color="auto"/>
            <w:left w:val="none" w:sz="0" w:space="0" w:color="auto"/>
            <w:bottom w:val="none" w:sz="0" w:space="0" w:color="auto"/>
            <w:right w:val="none" w:sz="0" w:space="0" w:color="auto"/>
          </w:divBdr>
          <w:divsChild>
            <w:div w:id="1326325945">
              <w:marLeft w:val="0"/>
              <w:marRight w:val="0"/>
              <w:marTop w:val="0"/>
              <w:marBottom w:val="0"/>
              <w:divBdr>
                <w:top w:val="none" w:sz="0" w:space="0" w:color="auto"/>
                <w:left w:val="none" w:sz="0" w:space="0" w:color="auto"/>
                <w:bottom w:val="none" w:sz="0" w:space="0" w:color="auto"/>
                <w:right w:val="none" w:sz="0" w:space="0" w:color="auto"/>
              </w:divBdr>
              <w:divsChild>
                <w:div w:id="6309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2687">
      <w:bodyDiv w:val="1"/>
      <w:marLeft w:val="0"/>
      <w:marRight w:val="0"/>
      <w:marTop w:val="0"/>
      <w:marBottom w:val="0"/>
      <w:divBdr>
        <w:top w:val="none" w:sz="0" w:space="0" w:color="auto"/>
        <w:left w:val="none" w:sz="0" w:space="0" w:color="auto"/>
        <w:bottom w:val="none" w:sz="0" w:space="0" w:color="auto"/>
        <w:right w:val="none" w:sz="0" w:space="0" w:color="auto"/>
      </w:divBdr>
      <w:divsChild>
        <w:div w:id="1276912294">
          <w:marLeft w:val="0"/>
          <w:marRight w:val="0"/>
          <w:marTop w:val="0"/>
          <w:marBottom w:val="0"/>
          <w:divBdr>
            <w:top w:val="none" w:sz="0" w:space="0" w:color="auto"/>
            <w:left w:val="none" w:sz="0" w:space="0" w:color="auto"/>
            <w:bottom w:val="none" w:sz="0" w:space="0" w:color="auto"/>
            <w:right w:val="none" w:sz="0" w:space="0" w:color="auto"/>
          </w:divBdr>
          <w:divsChild>
            <w:div w:id="1761753741">
              <w:marLeft w:val="0"/>
              <w:marRight w:val="0"/>
              <w:marTop w:val="0"/>
              <w:marBottom w:val="0"/>
              <w:divBdr>
                <w:top w:val="none" w:sz="0" w:space="0" w:color="auto"/>
                <w:left w:val="none" w:sz="0" w:space="0" w:color="auto"/>
                <w:bottom w:val="none" w:sz="0" w:space="0" w:color="auto"/>
                <w:right w:val="none" w:sz="0" w:space="0" w:color="auto"/>
              </w:divBdr>
              <w:divsChild>
                <w:div w:id="15894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7893">
      <w:bodyDiv w:val="1"/>
      <w:marLeft w:val="0"/>
      <w:marRight w:val="0"/>
      <w:marTop w:val="0"/>
      <w:marBottom w:val="0"/>
      <w:divBdr>
        <w:top w:val="none" w:sz="0" w:space="0" w:color="auto"/>
        <w:left w:val="none" w:sz="0" w:space="0" w:color="auto"/>
        <w:bottom w:val="none" w:sz="0" w:space="0" w:color="auto"/>
        <w:right w:val="none" w:sz="0" w:space="0" w:color="auto"/>
      </w:divBdr>
      <w:divsChild>
        <w:div w:id="684794374">
          <w:marLeft w:val="0"/>
          <w:marRight w:val="0"/>
          <w:marTop w:val="0"/>
          <w:marBottom w:val="0"/>
          <w:divBdr>
            <w:top w:val="none" w:sz="0" w:space="0" w:color="auto"/>
            <w:left w:val="none" w:sz="0" w:space="0" w:color="auto"/>
            <w:bottom w:val="none" w:sz="0" w:space="0" w:color="auto"/>
            <w:right w:val="none" w:sz="0" w:space="0" w:color="auto"/>
          </w:divBdr>
          <w:divsChild>
            <w:div w:id="703988784">
              <w:marLeft w:val="0"/>
              <w:marRight w:val="0"/>
              <w:marTop w:val="0"/>
              <w:marBottom w:val="0"/>
              <w:divBdr>
                <w:top w:val="none" w:sz="0" w:space="0" w:color="auto"/>
                <w:left w:val="none" w:sz="0" w:space="0" w:color="auto"/>
                <w:bottom w:val="none" w:sz="0" w:space="0" w:color="auto"/>
                <w:right w:val="none" w:sz="0" w:space="0" w:color="auto"/>
              </w:divBdr>
              <w:divsChild>
                <w:div w:id="8174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87124">
      <w:bodyDiv w:val="1"/>
      <w:marLeft w:val="0"/>
      <w:marRight w:val="0"/>
      <w:marTop w:val="0"/>
      <w:marBottom w:val="0"/>
      <w:divBdr>
        <w:top w:val="none" w:sz="0" w:space="0" w:color="auto"/>
        <w:left w:val="none" w:sz="0" w:space="0" w:color="auto"/>
        <w:bottom w:val="none" w:sz="0" w:space="0" w:color="auto"/>
        <w:right w:val="none" w:sz="0" w:space="0" w:color="auto"/>
      </w:divBdr>
      <w:divsChild>
        <w:div w:id="1290087419">
          <w:marLeft w:val="0"/>
          <w:marRight w:val="0"/>
          <w:marTop w:val="0"/>
          <w:marBottom w:val="0"/>
          <w:divBdr>
            <w:top w:val="none" w:sz="0" w:space="0" w:color="auto"/>
            <w:left w:val="none" w:sz="0" w:space="0" w:color="auto"/>
            <w:bottom w:val="none" w:sz="0" w:space="0" w:color="auto"/>
            <w:right w:val="none" w:sz="0" w:space="0" w:color="auto"/>
          </w:divBdr>
          <w:divsChild>
            <w:div w:id="469444099">
              <w:marLeft w:val="0"/>
              <w:marRight w:val="0"/>
              <w:marTop w:val="0"/>
              <w:marBottom w:val="0"/>
              <w:divBdr>
                <w:top w:val="none" w:sz="0" w:space="0" w:color="auto"/>
                <w:left w:val="none" w:sz="0" w:space="0" w:color="auto"/>
                <w:bottom w:val="none" w:sz="0" w:space="0" w:color="auto"/>
                <w:right w:val="none" w:sz="0" w:space="0" w:color="auto"/>
              </w:divBdr>
              <w:divsChild>
                <w:div w:id="1257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5985">
      <w:bodyDiv w:val="1"/>
      <w:marLeft w:val="0"/>
      <w:marRight w:val="0"/>
      <w:marTop w:val="0"/>
      <w:marBottom w:val="0"/>
      <w:divBdr>
        <w:top w:val="none" w:sz="0" w:space="0" w:color="auto"/>
        <w:left w:val="none" w:sz="0" w:space="0" w:color="auto"/>
        <w:bottom w:val="none" w:sz="0" w:space="0" w:color="auto"/>
        <w:right w:val="none" w:sz="0" w:space="0" w:color="auto"/>
      </w:divBdr>
      <w:divsChild>
        <w:div w:id="1066684173">
          <w:marLeft w:val="0"/>
          <w:marRight w:val="0"/>
          <w:marTop w:val="0"/>
          <w:marBottom w:val="0"/>
          <w:divBdr>
            <w:top w:val="none" w:sz="0" w:space="0" w:color="auto"/>
            <w:left w:val="none" w:sz="0" w:space="0" w:color="auto"/>
            <w:bottom w:val="none" w:sz="0" w:space="0" w:color="auto"/>
            <w:right w:val="none" w:sz="0" w:space="0" w:color="auto"/>
          </w:divBdr>
          <w:divsChild>
            <w:div w:id="2132673871">
              <w:marLeft w:val="0"/>
              <w:marRight w:val="0"/>
              <w:marTop w:val="0"/>
              <w:marBottom w:val="0"/>
              <w:divBdr>
                <w:top w:val="none" w:sz="0" w:space="0" w:color="auto"/>
                <w:left w:val="none" w:sz="0" w:space="0" w:color="auto"/>
                <w:bottom w:val="none" w:sz="0" w:space="0" w:color="auto"/>
                <w:right w:val="none" w:sz="0" w:space="0" w:color="auto"/>
              </w:divBdr>
              <w:divsChild>
                <w:div w:id="9239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50053">
      <w:bodyDiv w:val="1"/>
      <w:marLeft w:val="0"/>
      <w:marRight w:val="0"/>
      <w:marTop w:val="0"/>
      <w:marBottom w:val="0"/>
      <w:divBdr>
        <w:top w:val="none" w:sz="0" w:space="0" w:color="auto"/>
        <w:left w:val="none" w:sz="0" w:space="0" w:color="auto"/>
        <w:bottom w:val="none" w:sz="0" w:space="0" w:color="auto"/>
        <w:right w:val="none" w:sz="0" w:space="0" w:color="auto"/>
      </w:divBdr>
    </w:div>
    <w:div w:id="1490368342">
      <w:bodyDiv w:val="1"/>
      <w:marLeft w:val="0"/>
      <w:marRight w:val="0"/>
      <w:marTop w:val="0"/>
      <w:marBottom w:val="0"/>
      <w:divBdr>
        <w:top w:val="none" w:sz="0" w:space="0" w:color="auto"/>
        <w:left w:val="none" w:sz="0" w:space="0" w:color="auto"/>
        <w:bottom w:val="none" w:sz="0" w:space="0" w:color="auto"/>
        <w:right w:val="none" w:sz="0" w:space="0" w:color="auto"/>
      </w:divBdr>
      <w:divsChild>
        <w:div w:id="1386833899">
          <w:marLeft w:val="0"/>
          <w:marRight w:val="0"/>
          <w:marTop w:val="0"/>
          <w:marBottom w:val="0"/>
          <w:divBdr>
            <w:top w:val="none" w:sz="0" w:space="0" w:color="auto"/>
            <w:left w:val="none" w:sz="0" w:space="0" w:color="auto"/>
            <w:bottom w:val="none" w:sz="0" w:space="0" w:color="auto"/>
            <w:right w:val="none" w:sz="0" w:space="0" w:color="auto"/>
          </w:divBdr>
          <w:divsChild>
            <w:div w:id="1835486192">
              <w:marLeft w:val="0"/>
              <w:marRight w:val="0"/>
              <w:marTop w:val="0"/>
              <w:marBottom w:val="0"/>
              <w:divBdr>
                <w:top w:val="none" w:sz="0" w:space="0" w:color="auto"/>
                <w:left w:val="none" w:sz="0" w:space="0" w:color="auto"/>
                <w:bottom w:val="none" w:sz="0" w:space="0" w:color="auto"/>
                <w:right w:val="none" w:sz="0" w:space="0" w:color="auto"/>
              </w:divBdr>
              <w:divsChild>
                <w:div w:id="131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88886">
      <w:bodyDiv w:val="1"/>
      <w:marLeft w:val="0"/>
      <w:marRight w:val="0"/>
      <w:marTop w:val="0"/>
      <w:marBottom w:val="0"/>
      <w:divBdr>
        <w:top w:val="none" w:sz="0" w:space="0" w:color="auto"/>
        <w:left w:val="none" w:sz="0" w:space="0" w:color="auto"/>
        <w:bottom w:val="none" w:sz="0" w:space="0" w:color="auto"/>
        <w:right w:val="none" w:sz="0" w:space="0" w:color="auto"/>
      </w:divBdr>
      <w:divsChild>
        <w:div w:id="1624730660">
          <w:marLeft w:val="0"/>
          <w:marRight w:val="0"/>
          <w:marTop w:val="0"/>
          <w:marBottom w:val="0"/>
          <w:divBdr>
            <w:top w:val="none" w:sz="0" w:space="0" w:color="auto"/>
            <w:left w:val="none" w:sz="0" w:space="0" w:color="auto"/>
            <w:bottom w:val="none" w:sz="0" w:space="0" w:color="auto"/>
            <w:right w:val="none" w:sz="0" w:space="0" w:color="auto"/>
          </w:divBdr>
          <w:divsChild>
            <w:div w:id="633946059">
              <w:marLeft w:val="0"/>
              <w:marRight w:val="0"/>
              <w:marTop w:val="0"/>
              <w:marBottom w:val="0"/>
              <w:divBdr>
                <w:top w:val="none" w:sz="0" w:space="0" w:color="auto"/>
                <w:left w:val="none" w:sz="0" w:space="0" w:color="auto"/>
                <w:bottom w:val="none" w:sz="0" w:space="0" w:color="auto"/>
                <w:right w:val="none" w:sz="0" w:space="0" w:color="auto"/>
              </w:divBdr>
              <w:divsChild>
                <w:div w:id="12799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5883">
      <w:bodyDiv w:val="1"/>
      <w:marLeft w:val="0"/>
      <w:marRight w:val="0"/>
      <w:marTop w:val="0"/>
      <w:marBottom w:val="0"/>
      <w:divBdr>
        <w:top w:val="none" w:sz="0" w:space="0" w:color="auto"/>
        <w:left w:val="none" w:sz="0" w:space="0" w:color="auto"/>
        <w:bottom w:val="none" w:sz="0" w:space="0" w:color="auto"/>
        <w:right w:val="none" w:sz="0" w:space="0" w:color="auto"/>
      </w:divBdr>
      <w:divsChild>
        <w:div w:id="1035042670">
          <w:marLeft w:val="0"/>
          <w:marRight w:val="0"/>
          <w:marTop w:val="0"/>
          <w:marBottom w:val="0"/>
          <w:divBdr>
            <w:top w:val="none" w:sz="0" w:space="0" w:color="auto"/>
            <w:left w:val="none" w:sz="0" w:space="0" w:color="auto"/>
            <w:bottom w:val="none" w:sz="0" w:space="0" w:color="auto"/>
            <w:right w:val="none" w:sz="0" w:space="0" w:color="auto"/>
          </w:divBdr>
          <w:divsChild>
            <w:div w:id="988241675">
              <w:marLeft w:val="0"/>
              <w:marRight w:val="0"/>
              <w:marTop w:val="0"/>
              <w:marBottom w:val="0"/>
              <w:divBdr>
                <w:top w:val="none" w:sz="0" w:space="0" w:color="auto"/>
                <w:left w:val="none" w:sz="0" w:space="0" w:color="auto"/>
                <w:bottom w:val="none" w:sz="0" w:space="0" w:color="auto"/>
                <w:right w:val="none" w:sz="0" w:space="0" w:color="auto"/>
              </w:divBdr>
              <w:divsChild>
                <w:div w:id="5303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4415">
      <w:bodyDiv w:val="1"/>
      <w:marLeft w:val="0"/>
      <w:marRight w:val="0"/>
      <w:marTop w:val="0"/>
      <w:marBottom w:val="0"/>
      <w:divBdr>
        <w:top w:val="none" w:sz="0" w:space="0" w:color="auto"/>
        <w:left w:val="none" w:sz="0" w:space="0" w:color="auto"/>
        <w:bottom w:val="none" w:sz="0" w:space="0" w:color="auto"/>
        <w:right w:val="none" w:sz="0" w:space="0" w:color="auto"/>
      </w:divBdr>
      <w:divsChild>
        <w:div w:id="1308435835">
          <w:marLeft w:val="0"/>
          <w:marRight w:val="0"/>
          <w:marTop w:val="0"/>
          <w:marBottom w:val="0"/>
          <w:divBdr>
            <w:top w:val="none" w:sz="0" w:space="0" w:color="auto"/>
            <w:left w:val="none" w:sz="0" w:space="0" w:color="auto"/>
            <w:bottom w:val="none" w:sz="0" w:space="0" w:color="auto"/>
            <w:right w:val="none" w:sz="0" w:space="0" w:color="auto"/>
          </w:divBdr>
          <w:divsChild>
            <w:div w:id="2121946797">
              <w:marLeft w:val="0"/>
              <w:marRight w:val="0"/>
              <w:marTop w:val="0"/>
              <w:marBottom w:val="0"/>
              <w:divBdr>
                <w:top w:val="none" w:sz="0" w:space="0" w:color="auto"/>
                <w:left w:val="none" w:sz="0" w:space="0" w:color="auto"/>
                <w:bottom w:val="none" w:sz="0" w:space="0" w:color="auto"/>
                <w:right w:val="none" w:sz="0" w:space="0" w:color="auto"/>
              </w:divBdr>
              <w:divsChild>
                <w:div w:id="18750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1640">
      <w:bodyDiv w:val="1"/>
      <w:marLeft w:val="0"/>
      <w:marRight w:val="0"/>
      <w:marTop w:val="0"/>
      <w:marBottom w:val="0"/>
      <w:divBdr>
        <w:top w:val="none" w:sz="0" w:space="0" w:color="auto"/>
        <w:left w:val="none" w:sz="0" w:space="0" w:color="auto"/>
        <w:bottom w:val="none" w:sz="0" w:space="0" w:color="auto"/>
        <w:right w:val="none" w:sz="0" w:space="0" w:color="auto"/>
      </w:divBdr>
      <w:divsChild>
        <w:div w:id="1939944464">
          <w:marLeft w:val="0"/>
          <w:marRight w:val="0"/>
          <w:marTop w:val="0"/>
          <w:marBottom w:val="0"/>
          <w:divBdr>
            <w:top w:val="none" w:sz="0" w:space="0" w:color="auto"/>
            <w:left w:val="none" w:sz="0" w:space="0" w:color="auto"/>
            <w:bottom w:val="none" w:sz="0" w:space="0" w:color="auto"/>
            <w:right w:val="none" w:sz="0" w:space="0" w:color="auto"/>
          </w:divBdr>
          <w:divsChild>
            <w:div w:id="406536026">
              <w:marLeft w:val="0"/>
              <w:marRight w:val="0"/>
              <w:marTop w:val="0"/>
              <w:marBottom w:val="0"/>
              <w:divBdr>
                <w:top w:val="none" w:sz="0" w:space="0" w:color="auto"/>
                <w:left w:val="none" w:sz="0" w:space="0" w:color="auto"/>
                <w:bottom w:val="none" w:sz="0" w:space="0" w:color="auto"/>
                <w:right w:val="none" w:sz="0" w:space="0" w:color="auto"/>
              </w:divBdr>
              <w:divsChild>
                <w:div w:id="19375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2597">
      <w:bodyDiv w:val="1"/>
      <w:marLeft w:val="0"/>
      <w:marRight w:val="0"/>
      <w:marTop w:val="0"/>
      <w:marBottom w:val="0"/>
      <w:divBdr>
        <w:top w:val="none" w:sz="0" w:space="0" w:color="auto"/>
        <w:left w:val="none" w:sz="0" w:space="0" w:color="auto"/>
        <w:bottom w:val="none" w:sz="0" w:space="0" w:color="auto"/>
        <w:right w:val="none" w:sz="0" w:space="0" w:color="auto"/>
      </w:divBdr>
      <w:divsChild>
        <w:div w:id="782112145">
          <w:marLeft w:val="0"/>
          <w:marRight w:val="0"/>
          <w:marTop w:val="0"/>
          <w:marBottom w:val="0"/>
          <w:divBdr>
            <w:top w:val="none" w:sz="0" w:space="0" w:color="auto"/>
            <w:left w:val="none" w:sz="0" w:space="0" w:color="auto"/>
            <w:bottom w:val="none" w:sz="0" w:space="0" w:color="auto"/>
            <w:right w:val="none" w:sz="0" w:space="0" w:color="auto"/>
          </w:divBdr>
          <w:divsChild>
            <w:div w:id="466360076">
              <w:marLeft w:val="0"/>
              <w:marRight w:val="0"/>
              <w:marTop w:val="0"/>
              <w:marBottom w:val="0"/>
              <w:divBdr>
                <w:top w:val="none" w:sz="0" w:space="0" w:color="auto"/>
                <w:left w:val="none" w:sz="0" w:space="0" w:color="auto"/>
                <w:bottom w:val="none" w:sz="0" w:space="0" w:color="auto"/>
                <w:right w:val="none" w:sz="0" w:space="0" w:color="auto"/>
              </w:divBdr>
              <w:divsChild>
                <w:div w:id="21391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0277">
      <w:bodyDiv w:val="1"/>
      <w:marLeft w:val="0"/>
      <w:marRight w:val="0"/>
      <w:marTop w:val="0"/>
      <w:marBottom w:val="0"/>
      <w:divBdr>
        <w:top w:val="none" w:sz="0" w:space="0" w:color="auto"/>
        <w:left w:val="none" w:sz="0" w:space="0" w:color="auto"/>
        <w:bottom w:val="none" w:sz="0" w:space="0" w:color="auto"/>
        <w:right w:val="none" w:sz="0" w:space="0" w:color="auto"/>
      </w:divBdr>
      <w:divsChild>
        <w:div w:id="1239242964">
          <w:marLeft w:val="0"/>
          <w:marRight w:val="0"/>
          <w:marTop w:val="0"/>
          <w:marBottom w:val="0"/>
          <w:divBdr>
            <w:top w:val="none" w:sz="0" w:space="0" w:color="auto"/>
            <w:left w:val="none" w:sz="0" w:space="0" w:color="auto"/>
            <w:bottom w:val="none" w:sz="0" w:space="0" w:color="auto"/>
            <w:right w:val="none" w:sz="0" w:space="0" w:color="auto"/>
          </w:divBdr>
          <w:divsChild>
            <w:div w:id="350692663">
              <w:marLeft w:val="0"/>
              <w:marRight w:val="0"/>
              <w:marTop w:val="0"/>
              <w:marBottom w:val="0"/>
              <w:divBdr>
                <w:top w:val="none" w:sz="0" w:space="0" w:color="auto"/>
                <w:left w:val="none" w:sz="0" w:space="0" w:color="auto"/>
                <w:bottom w:val="none" w:sz="0" w:space="0" w:color="auto"/>
                <w:right w:val="none" w:sz="0" w:space="0" w:color="auto"/>
              </w:divBdr>
              <w:divsChild>
                <w:div w:id="1333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3609">
      <w:bodyDiv w:val="1"/>
      <w:marLeft w:val="0"/>
      <w:marRight w:val="0"/>
      <w:marTop w:val="0"/>
      <w:marBottom w:val="0"/>
      <w:divBdr>
        <w:top w:val="none" w:sz="0" w:space="0" w:color="auto"/>
        <w:left w:val="none" w:sz="0" w:space="0" w:color="auto"/>
        <w:bottom w:val="none" w:sz="0" w:space="0" w:color="auto"/>
        <w:right w:val="none" w:sz="0" w:space="0" w:color="auto"/>
      </w:divBdr>
      <w:divsChild>
        <w:div w:id="393312324">
          <w:marLeft w:val="0"/>
          <w:marRight w:val="0"/>
          <w:marTop w:val="0"/>
          <w:marBottom w:val="0"/>
          <w:divBdr>
            <w:top w:val="none" w:sz="0" w:space="0" w:color="auto"/>
            <w:left w:val="none" w:sz="0" w:space="0" w:color="auto"/>
            <w:bottom w:val="none" w:sz="0" w:space="0" w:color="auto"/>
            <w:right w:val="none" w:sz="0" w:space="0" w:color="auto"/>
          </w:divBdr>
          <w:divsChild>
            <w:div w:id="423309419">
              <w:marLeft w:val="0"/>
              <w:marRight w:val="0"/>
              <w:marTop w:val="0"/>
              <w:marBottom w:val="0"/>
              <w:divBdr>
                <w:top w:val="none" w:sz="0" w:space="0" w:color="auto"/>
                <w:left w:val="none" w:sz="0" w:space="0" w:color="auto"/>
                <w:bottom w:val="none" w:sz="0" w:space="0" w:color="auto"/>
                <w:right w:val="none" w:sz="0" w:space="0" w:color="auto"/>
              </w:divBdr>
              <w:divsChild>
                <w:div w:id="59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3894">
      <w:bodyDiv w:val="1"/>
      <w:marLeft w:val="0"/>
      <w:marRight w:val="0"/>
      <w:marTop w:val="0"/>
      <w:marBottom w:val="0"/>
      <w:divBdr>
        <w:top w:val="none" w:sz="0" w:space="0" w:color="auto"/>
        <w:left w:val="none" w:sz="0" w:space="0" w:color="auto"/>
        <w:bottom w:val="none" w:sz="0" w:space="0" w:color="auto"/>
        <w:right w:val="none" w:sz="0" w:space="0" w:color="auto"/>
      </w:divBdr>
      <w:divsChild>
        <w:div w:id="1211382330">
          <w:marLeft w:val="0"/>
          <w:marRight w:val="0"/>
          <w:marTop w:val="0"/>
          <w:marBottom w:val="0"/>
          <w:divBdr>
            <w:top w:val="none" w:sz="0" w:space="0" w:color="auto"/>
            <w:left w:val="none" w:sz="0" w:space="0" w:color="auto"/>
            <w:bottom w:val="none" w:sz="0" w:space="0" w:color="auto"/>
            <w:right w:val="none" w:sz="0" w:space="0" w:color="auto"/>
          </w:divBdr>
          <w:divsChild>
            <w:div w:id="1318337038">
              <w:marLeft w:val="0"/>
              <w:marRight w:val="0"/>
              <w:marTop w:val="0"/>
              <w:marBottom w:val="0"/>
              <w:divBdr>
                <w:top w:val="none" w:sz="0" w:space="0" w:color="auto"/>
                <w:left w:val="none" w:sz="0" w:space="0" w:color="auto"/>
                <w:bottom w:val="none" w:sz="0" w:space="0" w:color="auto"/>
                <w:right w:val="none" w:sz="0" w:space="0" w:color="auto"/>
              </w:divBdr>
              <w:divsChild>
                <w:div w:id="1109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89622">
      <w:bodyDiv w:val="1"/>
      <w:marLeft w:val="0"/>
      <w:marRight w:val="0"/>
      <w:marTop w:val="0"/>
      <w:marBottom w:val="0"/>
      <w:divBdr>
        <w:top w:val="none" w:sz="0" w:space="0" w:color="auto"/>
        <w:left w:val="none" w:sz="0" w:space="0" w:color="auto"/>
        <w:bottom w:val="none" w:sz="0" w:space="0" w:color="auto"/>
        <w:right w:val="none" w:sz="0" w:space="0" w:color="auto"/>
      </w:divBdr>
    </w:div>
    <w:div w:id="1769420535">
      <w:bodyDiv w:val="1"/>
      <w:marLeft w:val="0"/>
      <w:marRight w:val="0"/>
      <w:marTop w:val="0"/>
      <w:marBottom w:val="0"/>
      <w:divBdr>
        <w:top w:val="none" w:sz="0" w:space="0" w:color="auto"/>
        <w:left w:val="none" w:sz="0" w:space="0" w:color="auto"/>
        <w:bottom w:val="none" w:sz="0" w:space="0" w:color="auto"/>
        <w:right w:val="none" w:sz="0" w:space="0" w:color="auto"/>
      </w:divBdr>
      <w:divsChild>
        <w:div w:id="2089572397">
          <w:marLeft w:val="0"/>
          <w:marRight w:val="0"/>
          <w:marTop w:val="0"/>
          <w:marBottom w:val="0"/>
          <w:divBdr>
            <w:top w:val="none" w:sz="0" w:space="0" w:color="auto"/>
            <w:left w:val="none" w:sz="0" w:space="0" w:color="auto"/>
            <w:bottom w:val="none" w:sz="0" w:space="0" w:color="auto"/>
            <w:right w:val="none" w:sz="0" w:space="0" w:color="auto"/>
          </w:divBdr>
          <w:divsChild>
            <w:div w:id="1122917512">
              <w:marLeft w:val="0"/>
              <w:marRight w:val="0"/>
              <w:marTop w:val="0"/>
              <w:marBottom w:val="0"/>
              <w:divBdr>
                <w:top w:val="none" w:sz="0" w:space="0" w:color="auto"/>
                <w:left w:val="none" w:sz="0" w:space="0" w:color="auto"/>
                <w:bottom w:val="none" w:sz="0" w:space="0" w:color="auto"/>
                <w:right w:val="none" w:sz="0" w:space="0" w:color="auto"/>
              </w:divBdr>
              <w:divsChild>
                <w:div w:id="19145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4093">
      <w:bodyDiv w:val="1"/>
      <w:marLeft w:val="0"/>
      <w:marRight w:val="0"/>
      <w:marTop w:val="0"/>
      <w:marBottom w:val="0"/>
      <w:divBdr>
        <w:top w:val="none" w:sz="0" w:space="0" w:color="auto"/>
        <w:left w:val="none" w:sz="0" w:space="0" w:color="auto"/>
        <w:bottom w:val="none" w:sz="0" w:space="0" w:color="auto"/>
        <w:right w:val="none" w:sz="0" w:space="0" w:color="auto"/>
      </w:divBdr>
      <w:divsChild>
        <w:div w:id="1058554394">
          <w:marLeft w:val="0"/>
          <w:marRight w:val="0"/>
          <w:marTop w:val="0"/>
          <w:marBottom w:val="0"/>
          <w:divBdr>
            <w:top w:val="none" w:sz="0" w:space="0" w:color="auto"/>
            <w:left w:val="none" w:sz="0" w:space="0" w:color="auto"/>
            <w:bottom w:val="none" w:sz="0" w:space="0" w:color="auto"/>
            <w:right w:val="none" w:sz="0" w:space="0" w:color="auto"/>
          </w:divBdr>
          <w:divsChild>
            <w:div w:id="239295339">
              <w:marLeft w:val="0"/>
              <w:marRight w:val="0"/>
              <w:marTop w:val="0"/>
              <w:marBottom w:val="0"/>
              <w:divBdr>
                <w:top w:val="none" w:sz="0" w:space="0" w:color="auto"/>
                <w:left w:val="none" w:sz="0" w:space="0" w:color="auto"/>
                <w:bottom w:val="none" w:sz="0" w:space="0" w:color="auto"/>
                <w:right w:val="none" w:sz="0" w:space="0" w:color="auto"/>
              </w:divBdr>
              <w:divsChild>
                <w:div w:id="5508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86520">
      <w:bodyDiv w:val="1"/>
      <w:marLeft w:val="0"/>
      <w:marRight w:val="0"/>
      <w:marTop w:val="0"/>
      <w:marBottom w:val="0"/>
      <w:divBdr>
        <w:top w:val="none" w:sz="0" w:space="0" w:color="auto"/>
        <w:left w:val="none" w:sz="0" w:space="0" w:color="auto"/>
        <w:bottom w:val="none" w:sz="0" w:space="0" w:color="auto"/>
        <w:right w:val="none" w:sz="0" w:space="0" w:color="auto"/>
      </w:divBdr>
      <w:divsChild>
        <w:div w:id="707336827">
          <w:marLeft w:val="0"/>
          <w:marRight w:val="0"/>
          <w:marTop w:val="0"/>
          <w:marBottom w:val="0"/>
          <w:divBdr>
            <w:top w:val="none" w:sz="0" w:space="0" w:color="auto"/>
            <w:left w:val="none" w:sz="0" w:space="0" w:color="auto"/>
            <w:bottom w:val="none" w:sz="0" w:space="0" w:color="auto"/>
            <w:right w:val="none" w:sz="0" w:space="0" w:color="auto"/>
          </w:divBdr>
          <w:divsChild>
            <w:div w:id="1791388414">
              <w:marLeft w:val="0"/>
              <w:marRight w:val="0"/>
              <w:marTop w:val="0"/>
              <w:marBottom w:val="0"/>
              <w:divBdr>
                <w:top w:val="none" w:sz="0" w:space="0" w:color="auto"/>
                <w:left w:val="none" w:sz="0" w:space="0" w:color="auto"/>
                <w:bottom w:val="none" w:sz="0" w:space="0" w:color="auto"/>
                <w:right w:val="none" w:sz="0" w:space="0" w:color="auto"/>
              </w:divBdr>
              <w:divsChild>
                <w:div w:id="3991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4525">
      <w:bodyDiv w:val="1"/>
      <w:marLeft w:val="0"/>
      <w:marRight w:val="0"/>
      <w:marTop w:val="0"/>
      <w:marBottom w:val="0"/>
      <w:divBdr>
        <w:top w:val="none" w:sz="0" w:space="0" w:color="auto"/>
        <w:left w:val="none" w:sz="0" w:space="0" w:color="auto"/>
        <w:bottom w:val="none" w:sz="0" w:space="0" w:color="auto"/>
        <w:right w:val="none" w:sz="0" w:space="0" w:color="auto"/>
      </w:divBdr>
      <w:divsChild>
        <w:div w:id="734200641">
          <w:marLeft w:val="0"/>
          <w:marRight w:val="0"/>
          <w:marTop w:val="0"/>
          <w:marBottom w:val="0"/>
          <w:divBdr>
            <w:top w:val="none" w:sz="0" w:space="0" w:color="auto"/>
            <w:left w:val="none" w:sz="0" w:space="0" w:color="auto"/>
            <w:bottom w:val="none" w:sz="0" w:space="0" w:color="auto"/>
            <w:right w:val="none" w:sz="0" w:space="0" w:color="auto"/>
          </w:divBdr>
          <w:divsChild>
            <w:div w:id="511257747">
              <w:marLeft w:val="0"/>
              <w:marRight w:val="0"/>
              <w:marTop w:val="0"/>
              <w:marBottom w:val="0"/>
              <w:divBdr>
                <w:top w:val="none" w:sz="0" w:space="0" w:color="auto"/>
                <w:left w:val="none" w:sz="0" w:space="0" w:color="auto"/>
                <w:bottom w:val="none" w:sz="0" w:space="0" w:color="auto"/>
                <w:right w:val="none" w:sz="0" w:space="0" w:color="auto"/>
              </w:divBdr>
              <w:divsChild>
                <w:div w:id="20198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6459">
      <w:bodyDiv w:val="1"/>
      <w:marLeft w:val="0"/>
      <w:marRight w:val="0"/>
      <w:marTop w:val="0"/>
      <w:marBottom w:val="0"/>
      <w:divBdr>
        <w:top w:val="none" w:sz="0" w:space="0" w:color="auto"/>
        <w:left w:val="none" w:sz="0" w:space="0" w:color="auto"/>
        <w:bottom w:val="none" w:sz="0" w:space="0" w:color="auto"/>
        <w:right w:val="none" w:sz="0" w:space="0" w:color="auto"/>
      </w:divBdr>
      <w:divsChild>
        <w:div w:id="81490384">
          <w:marLeft w:val="0"/>
          <w:marRight w:val="0"/>
          <w:marTop w:val="0"/>
          <w:marBottom w:val="0"/>
          <w:divBdr>
            <w:top w:val="none" w:sz="0" w:space="0" w:color="auto"/>
            <w:left w:val="none" w:sz="0" w:space="0" w:color="auto"/>
            <w:bottom w:val="none" w:sz="0" w:space="0" w:color="auto"/>
            <w:right w:val="none" w:sz="0" w:space="0" w:color="auto"/>
          </w:divBdr>
          <w:divsChild>
            <w:div w:id="262540559">
              <w:marLeft w:val="0"/>
              <w:marRight w:val="0"/>
              <w:marTop w:val="0"/>
              <w:marBottom w:val="0"/>
              <w:divBdr>
                <w:top w:val="none" w:sz="0" w:space="0" w:color="auto"/>
                <w:left w:val="none" w:sz="0" w:space="0" w:color="auto"/>
                <w:bottom w:val="none" w:sz="0" w:space="0" w:color="auto"/>
                <w:right w:val="none" w:sz="0" w:space="0" w:color="auto"/>
              </w:divBdr>
              <w:divsChild>
                <w:div w:id="11311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020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75">
          <w:marLeft w:val="0"/>
          <w:marRight w:val="0"/>
          <w:marTop w:val="0"/>
          <w:marBottom w:val="0"/>
          <w:divBdr>
            <w:top w:val="none" w:sz="0" w:space="0" w:color="auto"/>
            <w:left w:val="none" w:sz="0" w:space="0" w:color="auto"/>
            <w:bottom w:val="none" w:sz="0" w:space="0" w:color="auto"/>
            <w:right w:val="none" w:sz="0" w:space="0" w:color="auto"/>
          </w:divBdr>
          <w:divsChild>
            <w:div w:id="1487627127">
              <w:marLeft w:val="0"/>
              <w:marRight w:val="0"/>
              <w:marTop w:val="0"/>
              <w:marBottom w:val="0"/>
              <w:divBdr>
                <w:top w:val="none" w:sz="0" w:space="0" w:color="auto"/>
                <w:left w:val="none" w:sz="0" w:space="0" w:color="auto"/>
                <w:bottom w:val="none" w:sz="0" w:space="0" w:color="auto"/>
                <w:right w:val="none" w:sz="0" w:space="0" w:color="auto"/>
              </w:divBdr>
              <w:divsChild>
                <w:div w:id="10890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10613">
      <w:bodyDiv w:val="1"/>
      <w:marLeft w:val="0"/>
      <w:marRight w:val="0"/>
      <w:marTop w:val="0"/>
      <w:marBottom w:val="0"/>
      <w:divBdr>
        <w:top w:val="none" w:sz="0" w:space="0" w:color="auto"/>
        <w:left w:val="none" w:sz="0" w:space="0" w:color="auto"/>
        <w:bottom w:val="none" w:sz="0" w:space="0" w:color="auto"/>
        <w:right w:val="none" w:sz="0" w:space="0" w:color="auto"/>
      </w:divBdr>
      <w:divsChild>
        <w:div w:id="1408263909">
          <w:marLeft w:val="0"/>
          <w:marRight w:val="0"/>
          <w:marTop w:val="0"/>
          <w:marBottom w:val="0"/>
          <w:divBdr>
            <w:top w:val="none" w:sz="0" w:space="0" w:color="auto"/>
            <w:left w:val="none" w:sz="0" w:space="0" w:color="auto"/>
            <w:bottom w:val="none" w:sz="0" w:space="0" w:color="auto"/>
            <w:right w:val="none" w:sz="0" w:space="0" w:color="auto"/>
          </w:divBdr>
          <w:divsChild>
            <w:div w:id="41681402">
              <w:marLeft w:val="0"/>
              <w:marRight w:val="0"/>
              <w:marTop w:val="0"/>
              <w:marBottom w:val="0"/>
              <w:divBdr>
                <w:top w:val="none" w:sz="0" w:space="0" w:color="auto"/>
                <w:left w:val="none" w:sz="0" w:space="0" w:color="auto"/>
                <w:bottom w:val="none" w:sz="0" w:space="0" w:color="auto"/>
                <w:right w:val="none" w:sz="0" w:space="0" w:color="auto"/>
              </w:divBdr>
              <w:divsChild>
                <w:div w:id="19266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6472">
      <w:bodyDiv w:val="1"/>
      <w:marLeft w:val="0"/>
      <w:marRight w:val="0"/>
      <w:marTop w:val="0"/>
      <w:marBottom w:val="0"/>
      <w:divBdr>
        <w:top w:val="none" w:sz="0" w:space="0" w:color="auto"/>
        <w:left w:val="none" w:sz="0" w:space="0" w:color="auto"/>
        <w:bottom w:val="none" w:sz="0" w:space="0" w:color="auto"/>
        <w:right w:val="none" w:sz="0" w:space="0" w:color="auto"/>
      </w:divBdr>
      <w:divsChild>
        <w:div w:id="1331449317">
          <w:marLeft w:val="0"/>
          <w:marRight w:val="0"/>
          <w:marTop w:val="0"/>
          <w:marBottom w:val="0"/>
          <w:divBdr>
            <w:top w:val="none" w:sz="0" w:space="0" w:color="auto"/>
            <w:left w:val="none" w:sz="0" w:space="0" w:color="auto"/>
            <w:bottom w:val="none" w:sz="0" w:space="0" w:color="auto"/>
            <w:right w:val="none" w:sz="0" w:space="0" w:color="auto"/>
          </w:divBdr>
          <w:divsChild>
            <w:div w:id="2044940092">
              <w:marLeft w:val="0"/>
              <w:marRight w:val="0"/>
              <w:marTop w:val="0"/>
              <w:marBottom w:val="0"/>
              <w:divBdr>
                <w:top w:val="none" w:sz="0" w:space="0" w:color="auto"/>
                <w:left w:val="none" w:sz="0" w:space="0" w:color="auto"/>
                <w:bottom w:val="none" w:sz="0" w:space="0" w:color="auto"/>
                <w:right w:val="none" w:sz="0" w:space="0" w:color="auto"/>
              </w:divBdr>
              <w:divsChild>
                <w:div w:id="3503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08189">
      <w:bodyDiv w:val="1"/>
      <w:marLeft w:val="0"/>
      <w:marRight w:val="0"/>
      <w:marTop w:val="0"/>
      <w:marBottom w:val="0"/>
      <w:divBdr>
        <w:top w:val="none" w:sz="0" w:space="0" w:color="auto"/>
        <w:left w:val="none" w:sz="0" w:space="0" w:color="auto"/>
        <w:bottom w:val="none" w:sz="0" w:space="0" w:color="auto"/>
        <w:right w:val="none" w:sz="0" w:space="0" w:color="auto"/>
      </w:divBdr>
      <w:divsChild>
        <w:div w:id="82146365">
          <w:marLeft w:val="0"/>
          <w:marRight w:val="0"/>
          <w:marTop w:val="0"/>
          <w:marBottom w:val="0"/>
          <w:divBdr>
            <w:top w:val="none" w:sz="0" w:space="0" w:color="auto"/>
            <w:left w:val="none" w:sz="0" w:space="0" w:color="auto"/>
            <w:bottom w:val="none" w:sz="0" w:space="0" w:color="auto"/>
            <w:right w:val="none" w:sz="0" w:space="0" w:color="auto"/>
          </w:divBdr>
          <w:divsChild>
            <w:div w:id="207574999">
              <w:marLeft w:val="0"/>
              <w:marRight w:val="0"/>
              <w:marTop w:val="0"/>
              <w:marBottom w:val="0"/>
              <w:divBdr>
                <w:top w:val="none" w:sz="0" w:space="0" w:color="auto"/>
                <w:left w:val="none" w:sz="0" w:space="0" w:color="auto"/>
                <w:bottom w:val="none" w:sz="0" w:space="0" w:color="auto"/>
                <w:right w:val="none" w:sz="0" w:space="0" w:color="auto"/>
              </w:divBdr>
              <w:divsChild>
                <w:div w:id="5431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1506">
      <w:bodyDiv w:val="1"/>
      <w:marLeft w:val="0"/>
      <w:marRight w:val="0"/>
      <w:marTop w:val="0"/>
      <w:marBottom w:val="0"/>
      <w:divBdr>
        <w:top w:val="none" w:sz="0" w:space="0" w:color="auto"/>
        <w:left w:val="none" w:sz="0" w:space="0" w:color="auto"/>
        <w:bottom w:val="none" w:sz="0" w:space="0" w:color="auto"/>
        <w:right w:val="none" w:sz="0" w:space="0" w:color="auto"/>
      </w:divBdr>
      <w:divsChild>
        <w:div w:id="1001153893">
          <w:marLeft w:val="0"/>
          <w:marRight w:val="0"/>
          <w:marTop w:val="0"/>
          <w:marBottom w:val="0"/>
          <w:divBdr>
            <w:top w:val="none" w:sz="0" w:space="0" w:color="auto"/>
            <w:left w:val="none" w:sz="0" w:space="0" w:color="auto"/>
            <w:bottom w:val="none" w:sz="0" w:space="0" w:color="auto"/>
            <w:right w:val="none" w:sz="0" w:space="0" w:color="auto"/>
          </w:divBdr>
          <w:divsChild>
            <w:div w:id="614483664">
              <w:marLeft w:val="0"/>
              <w:marRight w:val="0"/>
              <w:marTop w:val="0"/>
              <w:marBottom w:val="0"/>
              <w:divBdr>
                <w:top w:val="none" w:sz="0" w:space="0" w:color="auto"/>
                <w:left w:val="none" w:sz="0" w:space="0" w:color="auto"/>
                <w:bottom w:val="none" w:sz="0" w:space="0" w:color="auto"/>
                <w:right w:val="none" w:sz="0" w:space="0" w:color="auto"/>
              </w:divBdr>
              <w:divsChild>
                <w:div w:id="13253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3096">
      <w:bodyDiv w:val="1"/>
      <w:marLeft w:val="0"/>
      <w:marRight w:val="0"/>
      <w:marTop w:val="0"/>
      <w:marBottom w:val="0"/>
      <w:divBdr>
        <w:top w:val="none" w:sz="0" w:space="0" w:color="auto"/>
        <w:left w:val="none" w:sz="0" w:space="0" w:color="auto"/>
        <w:bottom w:val="none" w:sz="0" w:space="0" w:color="auto"/>
        <w:right w:val="none" w:sz="0" w:space="0" w:color="auto"/>
      </w:divBdr>
      <w:divsChild>
        <w:div w:id="896664549">
          <w:marLeft w:val="0"/>
          <w:marRight w:val="0"/>
          <w:marTop w:val="0"/>
          <w:marBottom w:val="0"/>
          <w:divBdr>
            <w:top w:val="none" w:sz="0" w:space="0" w:color="auto"/>
            <w:left w:val="none" w:sz="0" w:space="0" w:color="auto"/>
            <w:bottom w:val="none" w:sz="0" w:space="0" w:color="auto"/>
            <w:right w:val="none" w:sz="0" w:space="0" w:color="auto"/>
          </w:divBdr>
          <w:divsChild>
            <w:div w:id="151914574">
              <w:marLeft w:val="0"/>
              <w:marRight w:val="0"/>
              <w:marTop w:val="0"/>
              <w:marBottom w:val="0"/>
              <w:divBdr>
                <w:top w:val="none" w:sz="0" w:space="0" w:color="auto"/>
                <w:left w:val="none" w:sz="0" w:space="0" w:color="auto"/>
                <w:bottom w:val="none" w:sz="0" w:space="0" w:color="auto"/>
                <w:right w:val="none" w:sz="0" w:space="0" w:color="auto"/>
              </w:divBdr>
              <w:divsChild>
                <w:div w:id="2291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0632">
      <w:bodyDiv w:val="1"/>
      <w:marLeft w:val="0"/>
      <w:marRight w:val="0"/>
      <w:marTop w:val="0"/>
      <w:marBottom w:val="0"/>
      <w:divBdr>
        <w:top w:val="none" w:sz="0" w:space="0" w:color="auto"/>
        <w:left w:val="none" w:sz="0" w:space="0" w:color="auto"/>
        <w:bottom w:val="none" w:sz="0" w:space="0" w:color="auto"/>
        <w:right w:val="none" w:sz="0" w:space="0" w:color="auto"/>
      </w:divBdr>
      <w:divsChild>
        <w:div w:id="98456552">
          <w:marLeft w:val="0"/>
          <w:marRight w:val="0"/>
          <w:marTop w:val="0"/>
          <w:marBottom w:val="0"/>
          <w:divBdr>
            <w:top w:val="none" w:sz="0" w:space="0" w:color="auto"/>
            <w:left w:val="none" w:sz="0" w:space="0" w:color="auto"/>
            <w:bottom w:val="none" w:sz="0" w:space="0" w:color="auto"/>
            <w:right w:val="none" w:sz="0" w:space="0" w:color="auto"/>
          </w:divBdr>
          <w:divsChild>
            <w:div w:id="1594052050">
              <w:marLeft w:val="0"/>
              <w:marRight w:val="0"/>
              <w:marTop w:val="0"/>
              <w:marBottom w:val="0"/>
              <w:divBdr>
                <w:top w:val="none" w:sz="0" w:space="0" w:color="auto"/>
                <w:left w:val="none" w:sz="0" w:space="0" w:color="auto"/>
                <w:bottom w:val="none" w:sz="0" w:space="0" w:color="auto"/>
                <w:right w:val="none" w:sz="0" w:space="0" w:color="auto"/>
              </w:divBdr>
              <w:divsChild>
                <w:div w:id="1200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9307">
      <w:bodyDiv w:val="1"/>
      <w:marLeft w:val="0"/>
      <w:marRight w:val="0"/>
      <w:marTop w:val="0"/>
      <w:marBottom w:val="0"/>
      <w:divBdr>
        <w:top w:val="none" w:sz="0" w:space="0" w:color="auto"/>
        <w:left w:val="none" w:sz="0" w:space="0" w:color="auto"/>
        <w:bottom w:val="none" w:sz="0" w:space="0" w:color="auto"/>
        <w:right w:val="none" w:sz="0" w:space="0" w:color="auto"/>
      </w:divBdr>
      <w:divsChild>
        <w:div w:id="544292585">
          <w:marLeft w:val="0"/>
          <w:marRight w:val="0"/>
          <w:marTop w:val="0"/>
          <w:marBottom w:val="0"/>
          <w:divBdr>
            <w:top w:val="none" w:sz="0" w:space="0" w:color="auto"/>
            <w:left w:val="none" w:sz="0" w:space="0" w:color="auto"/>
            <w:bottom w:val="none" w:sz="0" w:space="0" w:color="auto"/>
            <w:right w:val="none" w:sz="0" w:space="0" w:color="auto"/>
          </w:divBdr>
          <w:divsChild>
            <w:div w:id="1570506396">
              <w:marLeft w:val="0"/>
              <w:marRight w:val="0"/>
              <w:marTop w:val="0"/>
              <w:marBottom w:val="0"/>
              <w:divBdr>
                <w:top w:val="none" w:sz="0" w:space="0" w:color="auto"/>
                <w:left w:val="none" w:sz="0" w:space="0" w:color="auto"/>
                <w:bottom w:val="none" w:sz="0" w:space="0" w:color="auto"/>
                <w:right w:val="none" w:sz="0" w:space="0" w:color="auto"/>
              </w:divBdr>
              <w:divsChild>
                <w:div w:id="15330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0835">
      <w:bodyDiv w:val="1"/>
      <w:marLeft w:val="0"/>
      <w:marRight w:val="0"/>
      <w:marTop w:val="0"/>
      <w:marBottom w:val="0"/>
      <w:divBdr>
        <w:top w:val="none" w:sz="0" w:space="0" w:color="auto"/>
        <w:left w:val="none" w:sz="0" w:space="0" w:color="auto"/>
        <w:bottom w:val="none" w:sz="0" w:space="0" w:color="auto"/>
        <w:right w:val="none" w:sz="0" w:space="0" w:color="auto"/>
      </w:divBdr>
      <w:divsChild>
        <w:div w:id="1481001335">
          <w:marLeft w:val="0"/>
          <w:marRight w:val="0"/>
          <w:marTop w:val="0"/>
          <w:marBottom w:val="0"/>
          <w:divBdr>
            <w:top w:val="none" w:sz="0" w:space="0" w:color="auto"/>
            <w:left w:val="none" w:sz="0" w:space="0" w:color="auto"/>
            <w:bottom w:val="none" w:sz="0" w:space="0" w:color="auto"/>
            <w:right w:val="none" w:sz="0" w:space="0" w:color="auto"/>
          </w:divBdr>
          <w:divsChild>
            <w:div w:id="881597664">
              <w:marLeft w:val="0"/>
              <w:marRight w:val="0"/>
              <w:marTop w:val="0"/>
              <w:marBottom w:val="0"/>
              <w:divBdr>
                <w:top w:val="none" w:sz="0" w:space="0" w:color="auto"/>
                <w:left w:val="none" w:sz="0" w:space="0" w:color="auto"/>
                <w:bottom w:val="none" w:sz="0" w:space="0" w:color="auto"/>
                <w:right w:val="none" w:sz="0" w:space="0" w:color="auto"/>
              </w:divBdr>
              <w:divsChild>
                <w:div w:id="7136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734">
      <w:bodyDiv w:val="1"/>
      <w:marLeft w:val="0"/>
      <w:marRight w:val="0"/>
      <w:marTop w:val="0"/>
      <w:marBottom w:val="0"/>
      <w:divBdr>
        <w:top w:val="none" w:sz="0" w:space="0" w:color="auto"/>
        <w:left w:val="none" w:sz="0" w:space="0" w:color="auto"/>
        <w:bottom w:val="none" w:sz="0" w:space="0" w:color="auto"/>
        <w:right w:val="none" w:sz="0" w:space="0" w:color="auto"/>
      </w:divBdr>
      <w:divsChild>
        <w:div w:id="1988821129">
          <w:marLeft w:val="0"/>
          <w:marRight w:val="0"/>
          <w:marTop w:val="0"/>
          <w:marBottom w:val="0"/>
          <w:divBdr>
            <w:top w:val="none" w:sz="0" w:space="0" w:color="auto"/>
            <w:left w:val="none" w:sz="0" w:space="0" w:color="auto"/>
            <w:bottom w:val="none" w:sz="0" w:space="0" w:color="auto"/>
            <w:right w:val="none" w:sz="0" w:space="0" w:color="auto"/>
          </w:divBdr>
          <w:divsChild>
            <w:div w:id="1750418260">
              <w:marLeft w:val="0"/>
              <w:marRight w:val="0"/>
              <w:marTop w:val="0"/>
              <w:marBottom w:val="0"/>
              <w:divBdr>
                <w:top w:val="none" w:sz="0" w:space="0" w:color="auto"/>
                <w:left w:val="none" w:sz="0" w:space="0" w:color="auto"/>
                <w:bottom w:val="none" w:sz="0" w:space="0" w:color="auto"/>
                <w:right w:val="none" w:sz="0" w:space="0" w:color="auto"/>
              </w:divBdr>
              <w:divsChild>
                <w:div w:id="16850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land.shelter.org.uk/support_us/campaigns/social_housing_defic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xfordshir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erwell.gov.uk/info/33/planning-policy/370/monitoring-reports/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xfordshire.gov.uk/sites/default/files/file/adult-social-and-health-care/MPS2019-22_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shire.gov.uk/sites/default/files/file/adult-social-and-health-care/OxfordshireMPS2019-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039FA6DEC58943A6E70C250BA1BA7D" ma:contentTypeVersion="12" ma:contentTypeDescription="Create a new document." ma:contentTypeScope="" ma:versionID="4dc13d0d93a5f8f6eeb6b908e5f98bff">
  <xsd:schema xmlns:xsd="http://www.w3.org/2001/XMLSchema" xmlns:xs="http://www.w3.org/2001/XMLSchema" xmlns:p="http://schemas.microsoft.com/office/2006/metadata/properties" xmlns:ns2="bab5f649-ed26-4c26-8e49-3d6a4b11fd78" xmlns:ns3="3273d394-75d0-478d-b397-16847e22efd1" targetNamespace="http://schemas.microsoft.com/office/2006/metadata/properties" ma:root="true" ma:fieldsID="186a9e4c8fc11dfa2b55e6dc91c89aae" ns2:_="" ns3:_="">
    <xsd:import namespace="bab5f649-ed26-4c26-8e49-3d6a4b11fd78"/>
    <xsd:import namespace="3273d394-75d0-478d-b397-16847e22ef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Fil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5f649-ed26-4c26-8e49-3d6a4b11f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FileImage" ma:index="19" nillable="true" ma:displayName="File Image" ma:format="Thumbnail" ma:internalName="Fil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73d394-75d0-478d-b397-16847e22ef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Image xmlns="bab5f649-ed26-4c26-8e49-3d6a4b11fd7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02588-D0DE-4B9F-B323-C8B7B35BEF3A}">
  <ds:schemaRefs>
    <ds:schemaRef ds:uri="http://schemas.openxmlformats.org/officeDocument/2006/bibliography"/>
  </ds:schemaRefs>
</ds:datastoreItem>
</file>

<file path=customXml/itemProps2.xml><?xml version="1.0" encoding="utf-8"?>
<ds:datastoreItem xmlns:ds="http://schemas.openxmlformats.org/officeDocument/2006/customXml" ds:itemID="{552C1024-4EEE-4C79-B00C-7C67B68F5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5f649-ed26-4c26-8e49-3d6a4b11fd78"/>
    <ds:schemaRef ds:uri="3273d394-75d0-478d-b397-16847e22e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65CBC-C34A-4C7A-AF20-27CC26B50EE9}">
  <ds:schemaRefs>
    <ds:schemaRef ds:uri="http://schemas.microsoft.com/office/infopath/2007/PartnerControls"/>
    <ds:schemaRef ds:uri="bab5f649-ed26-4c26-8e49-3d6a4b11fd78"/>
    <ds:schemaRef ds:uri="http://purl.org/dc/elements/1.1/"/>
    <ds:schemaRef ds:uri="http://schemas.microsoft.com/office/2006/metadata/properties"/>
    <ds:schemaRef ds:uri="3273d394-75d0-478d-b397-16847e22efd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4DF6573-4A8B-458A-8A04-2B8F66B85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4876</Words>
  <Characters>27799</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Lynette - Oxfordshire County Council</dc:creator>
  <cp:keywords/>
  <dc:description/>
  <cp:lastModifiedBy>White, Suzanne - Oxfordshire County Council</cp:lastModifiedBy>
  <cp:revision>2</cp:revision>
  <cp:lastPrinted>2022-11-11T16:08:00Z</cp:lastPrinted>
  <dcterms:created xsi:type="dcterms:W3CDTF">2023-08-30T14:34:00Z</dcterms:created>
  <dcterms:modified xsi:type="dcterms:W3CDTF">2023-08-30T14:34:00Z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0x010100D5039FA6DEC58943A6E70C250BA1BA7D</vt:lpwstr>
  </property>
</Properties>
</file>