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E8AC" w14:textId="77777777" w:rsidR="00DE6F99" w:rsidRPr="007036F9" w:rsidRDefault="00DE6F99" w:rsidP="00DE6F99">
      <w:pPr>
        <w:jc w:val="center"/>
        <w:rPr>
          <w:rFonts w:ascii="Arial" w:eastAsia="Calibri" w:hAnsi="Arial" w:cs="Arial"/>
          <w:b/>
          <w:sz w:val="28"/>
          <w:u w:val="single"/>
        </w:rPr>
      </w:pPr>
      <w:r w:rsidRPr="007036F9">
        <w:rPr>
          <w:rFonts w:ascii="Arial" w:eastAsia="Calibri" w:hAnsi="Arial" w:cs="Arial"/>
          <w:b/>
          <w:sz w:val="28"/>
          <w:u w:val="single"/>
        </w:rPr>
        <w:t>Oxfordshire County Council</w:t>
      </w:r>
    </w:p>
    <w:p w14:paraId="6D98F549" w14:textId="77777777" w:rsidR="00DE6F99" w:rsidRPr="007036F9" w:rsidRDefault="00DE6F99" w:rsidP="00DE6F99">
      <w:pPr>
        <w:jc w:val="center"/>
        <w:rPr>
          <w:rFonts w:ascii="Arial" w:eastAsia="Calibri" w:hAnsi="Arial" w:cs="Arial"/>
          <w:b/>
          <w:sz w:val="28"/>
          <w:u w:val="single"/>
        </w:rPr>
      </w:pPr>
      <w:r w:rsidRPr="007036F9">
        <w:rPr>
          <w:rFonts w:ascii="Arial" w:eastAsia="Calibri" w:hAnsi="Arial" w:cs="Arial"/>
          <w:b/>
          <w:sz w:val="28"/>
          <w:u w:val="single"/>
        </w:rPr>
        <w:t xml:space="preserve">Schools Forum – </w:t>
      </w:r>
      <w:r>
        <w:rPr>
          <w:rFonts w:ascii="Arial" w:eastAsia="Calibri" w:hAnsi="Arial" w:cs="Arial"/>
          <w:b/>
          <w:sz w:val="28"/>
          <w:u w:val="single"/>
        </w:rPr>
        <w:t>7 February 2024</w:t>
      </w:r>
    </w:p>
    <w:p w14:paraId="5982AEFD" w14:textId="523EF0F0" w:rsidR="00311406" w:rsidRPr="00311406" w:rsidRDefault="00311406" w:rsidP="007676EE">
      <w:pPr>
        <w:jc w:val="center"/>
        <w:rPr>
          <w:rFonts w:ascii="Arial" w:eastAsia="Calibri" w:hAnsi="Arial" w:cs="Arial"/>
          <w:b/>
          <w:sz w:val="28"/>
          <w:u w:val="single"/>
        </w:rPr>
      </w:pPr>
      <w:r w:rsidRPr="00311406">
        <w:rPr>
          <w:rFonts w:ascii="Arial" w:eastAsia="Calibri" w:hAnsi="Arial" w:cs="Arial"/>
          <w:b/>
          <w:sz w:val="28"/>
          <w:u w:val="single"/>
        </w:rPr>
        <w:t xml:space="preserve">Special Schools </w:t>
      </w:r>
      <w:r w:rsidR="007676EE">
        <w:rPr>
          <w:rFonts w:ascii="Arial" w:eastAsia="Calibri" w:hAnsi="Arial" w:cs="Arial"/>
          <w:b/>
          <w:sz w:val="28"/>
          <w:u w:val="single"/>
        </w:rPr>
        <w:t>&amp;</w:t>
      </w:r>
      <w:r w:rsidRPr="00311406">
        <w:rPr>
          <w:rFonts w:ascii="Arial" w:eastAsia="Calibri" w:hAnsi="Arial" w:cs="Arial"/>
          <w:b/>
          <w:sz w:val="28"/>
          <w:u w:val="single"/>
        </w:rPr>
        <w:t xml:space="preserve"> High Needs</w:t>
      </w:r>
      <w:r w:rsidR="007676EE">
        <w:rPr>
          <w:rFonts w:ascii="Arial" w:eastAsia="Calibri" w:hAnsi="Arial" w:cs="Arial"/>
          <w:b/>
          <w:sz w:val="28"/>
          <w:u w:val="single"/>
        </w:rPr>
        <w:t xml:space="preserve"> Funding 2024-25</w:t>
      </w:r>
    </w:p>
    <w:p w14:paraId="41A60348" w14:textId="77777777" w:rsidR="007676EE" w:rsidRDefault="007676EE" w:rsidP="00DE6F99">
      <w:pPr>
        <w:jc w:val="center"/>
        <w:rPr>
          <w:rFonts w:ascii="Arial" w:hAnsi="Arial" w:cs="Arial"/>
          <w:bCs/>
          <w:sz w:val="28"/>
        </w:rPr>
      </w:pPr>
    </w:p>
    <w:p w14:paraId="0AA8B02D" w14:textId="4DBC08AF" w:rsidR="00DE6F99" w:rsidRPr="00581686" w:rsidRDefault="00DE6F99" w:rsidP="00DE6F99">
      <w:pPr>
        <w:jc w:val="center"/>
        <w:rPr>
          <w:rFonts w:ascii="Arial" w:hAnsi="Arial" w:cs="Arial"/>
          <w:bCs/>
          <w:sz w:val="28"/>
        </w:rPr>
      </w:pPr>
      <w:r w:rsidRPr="00581686">
        <w:rPr>
          <w:rFonts w:ascii="Arial" w:hAnsi="Arial" w:cs="Arial"/>
          <w:bCs/>
          <w:sz w:val="28"/>
        </w:rPr>
        <w:t>DRAFT</w:t>
      </w:r>
    </w:p>
    <w:p w14:paraId="047B5431" w14:textId="77777777" w:rsidR="00DE6F99" w:rsidRPr="005A290C" w:rsidRDefault="00DE6F99" w:rsidP="00DE6F99">
      <w:pPr>
        <w:rPr>
          <w:rFonts w:ascii="Arial" w:hAnsi="Arial" w:cs="Arial"/>
          <w:b/>
          <w:sz w:val="8"/>
          <w:szCs w:val="8"/>
        </w:rPr>
      </w:pPr>
    </w:p>
    <w:tbl>
      <w:tblPr>
        <w:tblW w:w="9250" w:type="dxa"/>
        <w:tblCellMar>
          <w:left w:w="0" w:type="dxa"/>
          <w:right w:w="0" w:type="dxa"/>
        </w:tblCellMar>
        <w:tblLook w:val="04A0" w:firstRow="1" w:lastRow="0" w:firstColumn="1" w:lastColumn="0" w:noHBand="0" w:noVBand="1"/>
      </w:tblPr>
      <w:tblGrid>
        <w:gridCol w:w="1875"/>
        <w:gridCol w:w="533"/>
        <w:gridCol w:w="1772"/>
        <w:gridCol w:w="533"/>
        <w:gridCol w:w="4109"/>
        <w:gridCol w:w="358"/>
        <w:gridCol w:w="70"/>
      </w:tblGrid>
      <w:tr w:rsidR="00DE6F99" w:rsidRPr="006E08AE" w14:paraId="3722E873" w14:textId="77777777" w:rsidTr="000A01E7">
        <w:tc>
          <w:tcPr>
            <w:tcW w:w="24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5984DD" w14:textId="77777777" w:rsidR="00DE6F99" w:rsidRPr="006E08AE" w:rsidRDefault="00DE6F99" w:rsidP="00F546F9">
            <w:pPr>
              <w:rPr>
                <w:rFonts w:ascii="Arial" w:eastAsia="Calibri" w:hAnsi="Arial" w:cs="Arial"/>
                <w:sz w:val="18"/>
                <w:szCs w:val="18"/>
              </w:rPr>
            </w:pPr>
            <w:r w:rsidRPr="006E08AE">
              <w:rPr>
                <w:rFonts w:ascii="Arial" w:hAnsi="Arial" w:cs="Arial"/>
                <w:b/>
                <w:bCs/>
                <w:sz w:val="18"/>
                <w:szCs w:val="18"/>
                <w:lang w:eastAsia="en-GB"/>
              </w:rPr>
              <w:t>Settings</w:t>
            </w:r>
          </w:p>
        </w:tc>
        <w:tc>
          <w:tcPr>
            <w:tcW w:w="23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ADA71" w14:textId="77777777" w:rsidR="00DE6F99" w:rsidRPr="006E08AE" w:rsidRDefault="00DE6F99" w:rsidP="00F546F9">
            <w:pPr>
              <w:rPr>
                <w:rFonts w:ascii="Arial" w:eastAsia="Calibri" w:hAnsi="Arial" w:cs="Arial"/>
                <w:sz w:val="18"/>
                <w:szCs w:val="18"/>
              </w:rPr>
            </w:pPr>
            <w:r w:rsidRPr="006E08AE">
              <w:rPr>
                <w:rFonts w:ascii="Arial" w:hAnsi="Arial" w:cs="Arial"/>
                <w:b/>
                <w:bCs/>
                <w:sz w:val="18"/>
                <w:szCs w:val="18"/>
                <w:lang w:eastAsia="en-GB"/>
              </w:rPr>
              <w:t>Sector</w:t>
            </w:r>
          </w:p>
        </w:tc>
        <w:tc>
          <w:tcPr>
            <w:tcW w:w="44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AF7D0" w14:textId="77777777" w:rsidR="00DE6F99" w:rsidRPr="006E08AE" w:rsidRDefault="00DE6F99" w:rsidP="00F546F9">
            <w:pPr>
              <w:jc w:val="both"/>
              <w:rPr>
                <w:rFonts w:ascii="Arial" w:eastAsia="Calibri" w:hAnsi="Arial" w:cs="Arial"/>
                <w:b/>
                <w:bCs/>
                <w:sz w:val="18"/>
                <w:szCs w:val="18"/>
              </w:rPr>
            </w:pPr>
            <w:r w:rsidRPr="006E08AE">
              <w:rPr>
                <w:rFonts w:ascii="Arial" w:hAnsi="Arial" w:cs="Arial"/>
                <w:b/>
                <w:bCs/>
                <w:sz w:val="18"/>
                <w:szCs w:val="18"/>
                <w:lang w:eastAsia="en-GB"/>
              </w:rPr>
              <w:t>Voting Entitlement (for decision papers only)</w:t>
            </w:r>
          </w:p>
        </w:tc>
        <w:tc>
          <w:tcPr>
            <w:tcW w:w="70" w:type="dxa"/>
            <w:tcBorders>
              <w:top w:val="nil"/>
              <w:left w:val="nil"/>
              <w:bottom w:val="single" w:sz="8" w:space="0" w:color="auto"/>
              <w:right w:val="nil"/>
            </w:tcBorders>
            <w:vAlign w:val="center"/>
            <w:hideMark/>
          </w:tcPr>
          <w:p w14:paraId="22F1F3CE" w14:textId="77777777" w:rsidR="00DE6F99" w:rsidRPr="006E08AE" w:rsidRDefault="00DE6F99" w:rsidP="00F546F9">
            <w:pPr>
              <w:rPr>
                <w:rFonts w:ascii="Calibri" w:eastAsia="Calibri" w:hAnsi="Calibri"/>
                <w:sz w:val="22"/>
                <w:szCs w:val="22"/>
              </w:rPr>
            </w:pPr>
            <w:r w:rsidRPr="006E08AE">
              <w:rPr>
                <w:lang w:eastAsia="en-GB"/>
              </w:rPr>
              <w:t> </w:t>
            </w:r>
          </w:p>
        </w:tc>
      </w:tr>
      <w:tr w:rsidR="00DE6F99" w:rsidRPr="006E08AE" w14:paraId="533A236F"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C499C" w14:textId="77777777" w:rsidR="00DE6F99" w:rsidRPr="006E08AE" w:rsidRDefault="00DE6F99" w:rsidP="00F546F9">
            <w:pPr>
              <w:rPr>
                <w:rFonts w:ascii="Arial" w:eastAsia="Calibri" w:hAnsi="Arial" w:cs="Arial"/>
                <w:sz w:val="18"/>
                <w:szCs w:val="18"/>
              </w:rPr>
            </w:pPr>
            <w:r w:rsidRPr="006E08AE">
              <w:rPr>
                <w:rFonts w:ascii="Arial" w:hAnsi="Arial" w:cs="Arial"/>
                <w:sz w:val="18"/>
                <w:szCs w:val="18"/>
                <w:lang w:eastAsia="en-GB"/>
              </w:rPr>
              <w:t>Academies</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14:paraId="10E0CA9A" w14:textId="77777777" w:rsidR="00DE6F99" w:rsidRPr="006E08AE" w:rsidRDefault="00DE6F99" w:rsidP="00F546F9">
            <w:pPr>
              <w:jc w:val="center"/>
              <w:rPr>
                <w:rFonts w:ascii="Arial" w:eastAsia="Calibri" w:hAnsi="Arial" w:cs="Arial"/>
                <w:sz w:val="18"/>
                <w:szCs w:val="18"/>
              </w:rPr>
            </w:pPr>
            <w:r w:rsidRPr="006E08AE">
              <w:rPr>
                <w:rFonts w:ascii="Wingdings" w:hAnsi="Wingdings"/>
                <w:sz w:val="18"/>
                <w:szCs w:val="18"/>
                <w:lang w:eastAsia="en-GB"/>
              </w:rPr>
              <w:t></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AC94320" w14:textId="77777777" w:rsidR="00DE6F99" w:rsidRPr="006E08AE" w:rsidRDefault="00DE6F99" w:rsidP="00F546F9">
            <w:pPr>
              <w:rPr>
                <w:rFonts w:ascii="Arial" w:eastAsia="Calibri" w:hAnsi="Arial" w:cs="Arial"/>
                <w:sz w:val="18"/>
                <w:szCs w:val="18"/>
              </w:rPr>
            </w:pPr>
            <w:r w:rsidRPr="006E08AE">
              <w:rPr>
                <w:rFonts w:ascii="Arial" w:hAnsi="Arial" w:cs="Arial"/>
                <w:sz w:val="18"/>
                <w:szCs w:val="18"/>
                <w:lang w:eastAsia="en-GB"/>
              </w:rPr>
              <w:t>Foundation Stage</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3620D98C" w14:textId="77777777" w:rsidR="00DE6F99" w:rsidRPr="006E08AE" w:rsidRDefault="00DE6F99" w:rsidP="00F546F9">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2546AF2C" w14:textId="77777777" w:rsidR="00DE6F99" w:rsidRPr="006E08AE" w:rsidRDefault="00DE6F99" w:rsidP="00F546F9">
            <w:pPr>
              <w:tabs>
                <w:tab w:val="left" w:pos="720"/>
              </w:tabs>
              <w:contextualSpacing/>
              <w:rPr>
                <w:rFonts w:ascii="Arial" w:eastAsia="Calibri" w:hAnsi="Arial" w:cs="Arial"/>
                <w:sz w:val="18"/>
                <w:szCs w:val="18"/>
              </w:rPr>
            </w:pPr>
            <w:r>
              <w:rPr>
                <w:rFonts w:ascii="Arial" w:eastAsia="Calibri" w:hAnsi="Arial" w:cs="Arial"/>
                <w:sz w:val="18"/>
                <w:szCs w:val="18"/>
              </w:rPr>
              <w:t xml:space="preserve">Schools’ Forum approval is required in order </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23BAE043" w14:textId="77777777" w:rsidR="00DE6F99" w:rsidRPr="006E08AE" w:rsidRDefault="00DE6F99" w:rsidP="00F546F9">
            <w:pPr>
              <w:jc w:val="center"/>
              <w:rPr>
                <w:rFonts w:ascii="Arial" w:eastAsia="Calibri" w:hAnsi="Arial" w:cs="Arial"/>
                <w:sz w:val="18"/>
                <w:szCs w:val="18"/>
              </w:rPr>
            </w:pPr>
          </w:p>
        </w:tc>
      </w:tr>
      <w:tr w:rsidR="00DE6F99" w:rsidRPr="006E08AE" w14:paraId="7BFFC7C8"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42E5" w14:textId="77777777" w:rsidR="00DE6F99" w:rsidRPr="006E08AE" w:rsidRDefault="00DE6F99" w:rsidP="00F546F9">
            <w:pPr>
              <w:rPr>
                <w:rFonts w:ascii="Arial" w:eastAsia="Calibri" w:hAnsi="Arial" w:cs="Arial"/>
                <w:sz w:val="18"/>
                <w:szCs w:val="18"/>
              </w:rPr>
            </w:pPr>
            <w:r w:rsidRPr="006E08AE">
              <w:rPr>
                <w:rFonts w:ascii="Arial" w:hAnsi="Arial" w:cs="Arial"/>
                <w:sz w:val="18"/>
                <w:szCs w:val="18"/>
                <w:lang w:eastAsia="en-GB"/>
              </w:rPr>
              <w:t>Maintained Schools</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14:paraId="390948C6" w14:textId="77777777" w:rsidR="00DE6F99" w:rsidRPr="006E08AE" w:rsidRDefault="00DE6F99" w:rsidP="00F546F9">
            <w:pPr>
              <w:jc w:val="center"/>
              <w:rPr>
                <w:rFonts w:ascii="Arial" w:eastAsia="Calibri" w:hAnsi="Arial" w:cs="Arial"/>
                <w:sz w:val="18"/>
                <w:szCs w:val="18"/>
              </w:rPr>
            </w:pPr>
            <w:r w:rsidRPr="006E08AE">
              <w:rPr>
                <w:rFonts w:ascii="Wingdings" w:hAnsi="Wingdings"/>
                <w:sz w:val="18"/>
                <w:szCs w:val="18"/>
                <w:lang w:eastAsia="en-GB"/>
              </w:rPr>
              <w:t></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343997E4" w14:textId="77777777" w:rsidR="00DE6F99" w:rsidRPr="006E08AE" w:rsidRDefault="00DE6F99" w:rsidP="00F546F9">
            <w:pPr>
              <w:rPr>
                <w:rFonts w:ascii="Arial" w:eastAsia="Calibri" w:hAnsi="Arial" w:cs="Arial"/>
                <w:sz w:val="18"/>
                <w:szCs w:val="18"/>
              </w:rPr>
            </w:pPr>
            <w:r w:rsidRPr="006E08AE">
              <w:rPr>
                <w:rFonts w:ascii="Arial" w:hAnsi="Arial" w:cs="Arial"/>
                <w:sz w:val="18"/>
                <w:szCs w:val="18"/>
                <w:lang w:eastAsia="en-GB"/>
              </w:rPr>
              <w:t>Primary</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2084D601" w14:textId="77777777" w:rsidR="00DE6F99" w:rsidRPr="006E08AE" w:rsidRDefault="00DE6F99" w:rsidP="00F546F9">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2312A57A" w14:textId="77777777" w:rsidR="00DE6F99" w:rsidRPr="006E08AE" w:rsidRDefault="00DE6F99" w:rsidP="00F546F9">
            <w:pPr>
              <w:tabs>
                <w:tab w:val="left" w:pos="720"/>
              </w:tabs>
              <w:contextualSpacing/>
              <w:rPr>
                <w:rFonts w:ascii="Arial" w:eastAsia="Calibri" w:hAnsi="Arial" w:cs="Arial"/>
                <w:sz w:val="18"/>
                <w:szCs w:val="18"/>
              </w:rPr>
            </w:pPr>
            <w:r>
              <w:rPr>
                <w:rFonts w:ascii="Arial" w:eastAsia="Calibri" w:hAnsi="Arial" w:cs="Arial"/>
                <w:sz w:val="18"/>
                <w:szCs w:val="18"/>
              </w:rPr>
              <w:t>to move funding from the school’s block to the</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1D630D3E" w14:textId="77777777" w:rsidR="00DE6F99" w:rsidRPr="006E08AE" w:rsidRDefault="00DE6F99" w:rsidP="00F546F9">
            <w:pPr>
              <w:jc w:val="center"/>
              <w:rPr>
                <w:rFonts w:ascii="Arial" w:eastAsia="Calibri" w:hAnsi="Arial" w:cs="Arial"/>
                <w:sz w:val="18"/>
                <w:szCs w:val="18"/>
              </w:rPr>
            </w:pPr>
          </w:p>
        </w:tc>
      </w:tr>
      <w:tr w:rsidR="00DE6F99" w:rsidRPr="006E08AE" w14:paraId="6C58016D"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02FB5" w14:textId="77777777" w:rsidR="00DE6F99" w:rsidRPr="006E08AE" w:rsidRDefault="00DE6F99" w:rsidP="00F546F9">
            <w:pPr>
              <w:rPr>
                <w:rFonts w:ascii="Arial" w:eastAsia="Calibri" w:hAnsi="Arial" w:cs="Arial"/>
                <w:sz w:val="18"/>
                <w:szCs w:val="18"/>
              </w:rPr>
            </w:pPr>
            <w:r w:rsidRPr="006E08AE">
              <w:rPr>
                <w:rFonts w:ascii="Arial" w:hAnsi="Arial" w:cs="Arial"/>
                <w:sz w:val="18"/>
                <w:szCs w:val="18"/>
                <w:lang w:eastAsia="en-GB"/>
              </w:rPr>
              <w:t>PVI Nurseries</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0252E389" w14:textId="77777777" w:rsidR="00DE6F99" w:rsidRPr="006E08AE" w:rsidRDefault="00DE6F99" w:rsidP="00F546F9">
            <w:pPr>
              <w:jc w:val="center"/>
              <w:rPr>
                <w:rFonts w:ascii="Arial" w:eastAsia="Calibri" w:hAnsi="Arial" w:cs="Arial"/>
                <w:sz w:val="18"/>
                <w:szCs w:val="18"/>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40EFBBC3" w14:textId="77777777" w:rsidR="00DE6F99" w:rsidRPr="006E08AE" w:rsidRDefault="00DE6F99" w:rsidP="00F546F9">
            <w:pPr>
              <w:rPr>
                <w:rFonts w:ascii="Arial" w:eastAsia="Calibri" w:hAnsi="Arial" w:cs="Arial"/>
                <w:sz w:val="18"/>
                <w:szCs w:val="18"/>
              </w:rPr>
            </w:pPr>
            <w:r w:rsidRPr="006E08AE">
              <w:rPr>
                <w:rFonts w:ascii="Arial" w:hAnsi="Arial" w:cs="Arial"/>
                <w:sz w:val="18"/>
                <w:szCs w:val="18"/>
                <w:lang w:eastAsia="en-GB"/>
              </w:rPr>
              <w:t>Secondary</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4802FC23" w14:textId="77777777" w:rsidR="00DE6F99" w:rsidRPr="006E08AE" w:rsidRDefault="00DE6F99" w:rsidP="00F546F9">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358FA275" w14:textId="77777777" w:rsidR="00DE6F99" w:rsidRPr="006E08AE" w:rsidRDefault="00DE6F99" w:rsidP="00F546F9">
            <w:pPr>
              <w:tabs>
                <w:tab w:val="left" w:pos="720"/>
              </w:tabs>
              <w:contextualSpacing/>
              <w:rPr>
                <w:rFonts w:ascii="Arial" w:eastAsia="Calibri" w:hAnsi="Arial" w:cs="Arial"/>
                <w:sz w:val="18"/>
                <w:szCs w:val="18"/>
              </w:rPr>
            </w:pPr>
            <w:r>
              <w:rPr>
                <w:rFonts w:ascii="Arial" w:eastAsia="Calibri" w:hAnsi="Arial" w:cs="Arial"/>
                <w:sz w:val="18"/>
                <w:szCs w:val="18"/>
              </w:rPr>
              <w:t>High Needs Block</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625830E1" w14:textId="77777777" w:rsidR="00DE6F99" w:rsidRPr="006E08AE" w:rsidRDefault="000A01E7" w:rsidP="00F546F9">
            <w:pPr>
              <w:jc w:val="center"/>
              <w:rPr>
                <w:rFonts w:ascii="Arial" w:eastAsia="Calibri" w:hAnsi="Arial" w:cs="Arial"/>
                <w:sz w:val="18"/>
                <w:szCs w:val="18"/>
              </w:rPr>
            </w:pPr>
            <w:r w:rsidRPr="006E08AE">
              <w:rPr>
                <w:rFonts w:ascii="Wingdings" w:hAnsi="Wingdings"/>
                <w:sz w:val="18"/>
                <w:szCs w:val="18"/>
                <w:lang w:eastAsia="en-GB"/>
              </w:rPr>
              <w:t></w:t>
            </w:r>
          </w:p>
        </w:tc>
      </w:tr>
      <w:tr w:rsidR="000A01E7" w:rsidRPr="006E08AE" w14:paraId="3BCC0A97"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B9CB3" w14:textId="77777777" w:rsidR="000A01E7" w:rsidRPr="006E08AE" w:rsidRDefault="000A01E7" w:rsidP="000A01E7">
            <w:pPr>
              <w:rPr>
                <w:rFonts w:ascii="Arial" w:eastAsia="Calibri" w:hAnsi="Arial" w:cs="Arial"/>
                <w:sz w:val="18"/>
                <w:szCs w:val="18"/>
              </w:rPr>
            </w:pPr>
            <w:r w:rsidRPr="006E08AE">
              <w:rPr>
                <w:rFonts w:ascii="Arial" w:hAnsi="Arial" w:cs="Arial"/>
                <w:sz w:val="18"/>
                <w:szCs w:val="18"/>
                <w:lang w:eastAsia="en-GB"/>
              </w:rPr>
              <w:t>Special Schools</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14F73A4C" w14:textId="77777777" w:rsidR="000A01E7" w:rsidRPr="006E08AE" w:rsidRDefault="000A01E7" w:rsidP="000A01E7">
            <w:pPr>
              <w:jc w:val="center"/>
              <w:rPr>
                <w:rFonts w:ascii="Arial" w:eastAsia="Calibri" w:hAnsi="Arial" w:cs="Arial"/>
                <w:sz w:val="18"/>
                <w:szCs w:val="18"/>
              </w:rPr>
            </w:pPr>
            <w:r w:rsidRPr="006E08AE">
              <w:rPr>
                <w:rFonts w:ascii="Wingdings" w:hAnsi="Wingdings"/>
                <w:sz w:val="18"/>
                <w:szCs w:val="18"/>
                <w:lang w:eastAsia="en-GB"/>
              </w:rPr>
              <w:t></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B844315" w14:textId="77777777" w:rsidR="000A01E7" w:rsidRPr="006E08AE" w:rsidRDefault="000A01E7" w:rsidP="000A01E7">
            <w:pPr>
              <w:rPr>
                <w:rFonts w:ascii="Arial" w:eastAsia="Calibri" w:hAnsi="Arial" w:cs="Arial"/>
                <w:sz w:val="18"/>
                <w:szCs w:val="18"/>
              </w:rPr>
            </w:pPr>
            <w:r w:rsidRPr="006E08AE">
              <w:rPr>
                <w:rFonts w:ascii="Arial" w:hAnsi="Arial" w:cs="Arial"/>
                <w:sz w:val="18"/>
                <w:szCs w:val="18"/>
                <w:lang w:eastAsia="en-GB"/>
              </w:rPr>
              <w:t>Special</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4C0E75CA" w14:textId="77777777" w:rsidR="000A01E7" w:rsidRPr="006E08AE" w:rsidRDefault="000A01E7" w:rsidP="000A01E7">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61C99548" w14:textId="77777777" w:rsidR="000A01E7" w:rsidRPr="006E08AE" w:rsidRDefault="000A01E7" w:rsidP="000A01E7">
            <w:pPr>
              <w:tabs>
                <w:tab w:val="left" w:pos="720"/>
              </w:tabs>
              <w:contextualSpacing/>
              <w:rPr>
                <w:rFonts w:ascii="Arial" w:eastAsia="Calibri" w:hAnsi="Arial" w:cs="Arial"/>
                <w:sz w:val="18"/>
                <w:szCs w:val="18"/>
              </w:rPr>
            </w:pPr>
            <w:r w:rsidRPr="006A2EFB">
              <w:rPr>
                <w:rFonts w:ascii="Arial" w:eastAsia="Calibri" w:hAnsi="Arial" w:cs="Arial"/>
                <w:b/>
                <w:bCs/>
                <w:sz w:val="18"/>
                <w:szCs w:val="18"/>
              </w:rPr>
              <w:t>All</w:t>
            </w:r>
            <w:r>
              <w:rPr>
                <w:rFonts w:ascii="Arial" w:eastAsia="Calibri" w:hAnsi="Arial" w:cs="Arial"/>
                <w:sz w:val="18"/>
                <w:szCs w:val="18"/>
              </w:rPr>
              <w:t xml:space="preserve"> representatives vote on Block movements </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0D70CF44" w14:textId="77777777" w:rsidR="000A01E7" w:rsidRPr="006E08AE" w:rsidRDefault="000A01E7" w:rsidP="000A01E7">
            <w:pPr>
              <w:jc w:val="center"/>
              <w:rPr>
                <w:rFonts w:ascii="Arial" w:eastAsia="Calibri" w:hAnsi="Arial" w:cs="Arial"/>
                <w:sz w:val="18"/>
                <w:szCs w:val="18"/>
              </w:rPr>
            </w:pPr>
          </w:p>
        </w:tc>
      </w:tr>
      <w:tr w:rsidR="000A01E7" w:rsidRPr="006E08AE" w14:paraId="6F8BE217"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F271D" w14:textId="77777777" w:rsidR="000A01E7" w:rsidRPr="006E08AE" w:rsidRDefault="000A01E7" w:rsidP="000A01E7">
            <w:pPr>
              <w:rPr>
                <w:rFonts w:ascii="Arial" w:eastAsia="Calibri" w:hAnsi="Arial" w:cs="Arial"/>
                <w:sz w:val="18"/>
                <w:szCs w:val="18"/>
              </w:rPr>
            </w:pPr>
            <w:r w:rsidRPr="006E08AE">
              <w:rPr>
                <w:rFonts w:ascii="Arial" w:hAnsi="Arial" w:cs="Arial"/>
                <w:sz w:val="18"/>
                <w:szCs w:val="18"/>
                <w:lang w:eastAsia="en-GB"/>
              </w:rPr>
              <w:t>Local Authority</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14:paraId="494C385C" w14:textId="77777777" w:rsidR="000A01E7" w:rsidRPr="006E08AE" w:rsidRDefault="000A01E7" w:rsidP="000A01E7">
            <w:pPr>
              <w:jc w:val="center"/>
              <w:rPr>
                <w:rFonts w:ascii="Arial" w:eastAsia="Calibri" w:hAnsi="Arial" w:cs="Arial"/>
                <w:sz w:val="18"/>
                <w:szCs w:val="18"/>
              </w:rPr>
            </w:pPr>
            <w:r w:rsidRPr="006E08AE">
              <w:rPr>
                <w:rFonts w:ascii="Wingdings" w:hAnsi="Wingdings"/>
                <w:sz w:val="18"/>
                <w:szCs w:val="18"/>
                <w:lang w:eastAsia="en-GB"/>
              </w:rPr>
              <w:t></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C1AFD70" w14:textId="77777777" w:rsidR="000A01E7" w:rsidRPr="006E08AE" w:rsidRDefault="000A01E7" w:rsidP="000A01E7">
            <w:pPr>
              <w:rPr>
                <w:rFonts w:ascii="Arial" w:eastAsia="Calibri" w:hAnsi="Arial" w:cs="Arial"/>
                <w:sz w:val="18"/>
                <w:szCs w:val="18"/>
              </w:rPr>
            </w:pPr>
            <w:r w:rsidRPr="006E08AE">
              <w:rPr>
                <w:rFonts w:ascii="Arial" w:hAnsi="Arial" w:cs="Arial"/>
                <w:sz w:val="18"/>
                <w:szCs w:val="18"/>
                <w:lang w:eastAsia="en-GB"/>
              </w:rPr>
              <w:t>16+</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02796744" w14:textId="77777777" w:rsidR="000A01E7" w:rsidRPr="006E08AE" w:rsidRDefault="000A01E7" w:rsidP="000A01E7">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067B4A50" w14:textId="77777777" w:rsidR="000A01E7" w:rsidRPr="006E08AE" w:rsidRDefault="000A01E7" w:rsidP="000A01E7">
            <w:pPr>
              <w:tabs>
                <w:tab w:val="left" w:pos="720"/>
              </w:tabs>
              <w:contextualSpacing/>
              <w:rPr>
                <w:rFonts w:ascii="Arial" w:eastAsia="Calibri" w:hAnsi="Arial" w:cs="Arial"/>
                <w:sz w:val="18"/>
                <w:szCs w:val="18"/>
              </w:rPr>
            </w:pP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42DE91CB" w14:textId="77777777" w:rsidR="000A01E7" w:rsidRPr="006E08AE" w:rsidRDefault="000A01E7" w:rsidP="000A01E7">
            <w:pPr>
              <w:jc w:val="center"/>
              <w:rPr>
                <w:rFonts w:ascii="Arial" w:eastAsia="Calibri" w:hAnsi="Arial" w:cs="Arial"/>
                <w:sz w:val="18"/>
                <w:szCs w:val="18"/>
              </w:rPr>
            </w:pPr>
          </w:p>
        </w:tc>
      </w:tr>
      <w:tr w:rsidR="000A01E7" w:rsidRPr="006E08AE" w14:paraId="29118AC5"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D769A" w14:textId="77777777" w:rsidR="000A01E7" w:rsidRPr="006E08AE" w:rsidRDefault="000A01E7" w:rsidP="000A01E7">
            <w:pPr>
              <w:rPr>
                <w:rFonts w:ascii="Arial" w:eastAsia="Calibri" w:hAnsi="Arial" w:cs="Arial"/>
                <w:sz w:val="18"/>
                <w:szCs w:val="18"/>
              </w:rPr>
            </w:pPr>
            <w:r w:rsidRPr="006E08AE">
              <w:rPr>
                <w:rFonts w:ascii="Arial" w:hAnsi="Arial" w:cs="Arial"/>
                <w:sz w:val="18"/>
                <w:szCs w:val="18"/>
                <w:lang w:eastAsia="en-GB"/>
              </w:rPr>
              <w:t>Schools Forum</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566BE1AA" w14:textId="77777777" w:rsidR="000A01E7" w:rsidRPr="006E08AE" w:rsidRDefault="000A01E7" w:rsidP="000A01E7">
            <w:pPr>
              <w:jc w:val="center"/>
              <w:rPr>
                <w:rFonts w:ascii="Arial" w:eastAsia="Calibri" w:hAnsi="Arial" w:cs="Arial"/>
                <w:sz w:val="18"/>
                <w:szCs w:val="18"/>
              </w:rPr>
            </w:pPr>
            <w:r w:rsidRPr="006E08AE">
              <w:rPr>
                <w:rFonts w:ascii="Wingdings" w:hAnsi="Wingdings"/>
                <w:sz w:val="18"/>
                <w:szCs w:val="18"/>
                <w:lang w:eastAsia="en-GB"/>
              </w:rPr>
              <w:t></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3BD09EF" w14:textId="77777777" w:rsidR="000A01E7" w:rsidRPr="006E08AE" w:rsidRDefault="000A01E7" w:rsidP="000A01E7">
            <w:pPr>
              <w:rPr>
                <w:rFonts w:ascii="Arial" w:eastAsia="Calibri" w:hAnsi="Arial" w:cs="Arial"/>
                <w:sz w:val="18"/>
                <w:szCs w:val="18"/>
              </w:rPr>
            </w:pPr>
            <w:r w:rsidRPr="006E08AE">
              <w:rPr>
                <w:rFonts w:ascii="Arial" w:hAnsi="Arial" w:cs="Arial"/>
                <w:sz w:val="18"/>
                <w:szCs w:val="18"/>
                <w:lang w:eastAsia="en-GB"/>
              </w:rPr>
              <w:t>High Needs</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0632BAC5" w14:textId="77777777" w:rsidR="000A01E7" w:rsidRPr="006E08AE" w:rsidRDefault="000A01E7" w:rsidP="000A01E7">
            <w:pPr>
              <w:jc w:val="center"/>
              <w:rPr>
                <w:rFonts w:ascii="Arial" w:eastAsia="Calibri" w:hAnsi="Arial" w:cs="Arial"/>
                <w:sz w:val="18"/>
                <w:szCs w:val="18"/>
              </w:rPr>
            </w:pPr>
            <w:r w:rsidRPr="006E08AE">
              <w:rPr>
                <w:rFonts w:ascii="Wingdings" w:hAnsi="Wingdings"/>
                <w:sz w:val="18"/>
                <w:szCs w:val="18"/>
                <w:lang w:eastAsia="en-GB"/>
              </w:rPr>
              <w:t></w:t>
            </w: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6333B9BB" w14:textId="77777777" w:rsidR="000A01E7" w:rsidRPr="006E08AE" w:rsidRDefault="000A01E7" w:rsidP="000A01E7">
            <w:pPr>
              <w:tabs>
                <w:tab w:val="left" w:pos="720"/>
              </w:tabs>
              <w:contextualSpacing/>
              <w:rPr>
                <w:rFonts w:ascii="Arial" w:eastAsia="Calibri" w:hAnsi="Arial" w:cs="Arial"/>
                <w:sz w:val="18"/>
                <w:szCs w:val="18"/>
              </w:rPr>
            </w:pPr>
            <w:r>
              <w:rPr>
                <w:rFonts w:ascii="Arial" w:eastAsia="Calibri" w:hAnsi="Arial" w:cs="Arial"/>
                <w:sz w:val="18"/>
                <w:szCs w:val="18"/>
              </w:rPr>
              <w:t xml:space="preserve">Voting on amendment to the school </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5269348B" w14:textId="77777777" w:rsidR="000A01E7" w:rsidRPr="006E08AE" w:rsidRDefault="000A01E7" w:rsidP="000A01E7">
            <w:pPr>
              <w:jc w:val="center"/>
              <w:rPr>
                <w:rFonts w:ascii="Arial" w:eastAsia="Calibri" w:hAnsi="Arial" w:cs="Arial"/>
                <w:sz w:val="18"/>
                <w:szCs w:val="18"/>
              </w:rPr>
            </w:pPr>
          </w:p>
        </w:tc>
      </w:tr>
      <w:tr w:rsidR="000A01E7" w:rsidRPr="006E08AE" w14:paraId="785A7F39"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056BFA" w14:textId="77777777" w:rsidR="000A01E7" w:rsidRPr="006E08AE" w:rsidRDefault="000A01E7" w:rsidP="000A01E7">
            <w:pPr>
              <w:rPr>
                <w:rFonts w:ascii="Arial" w:eastAsia="Calibri" w:hAnsi="Arial" w:cs="Arial"/>
                <w:sz w:val="18"/>
                <w:szCs w:val="18"/>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680C2970" w14:textId="77777777" w:rsidR="000A01E7" w:rsidRPr="006E08AE" w:rsidRDefault="000A01E7" w:rsidP="000A01E7">
            <w:pPr>
              <w:jc w:val="center"/>
              <w:rPr>
                <w:rFonts w:ascii="Arial" w:eastAsia="Calibri" w:hAnsi="Arial" w:cs="Arial"/>
                <w:sz w:val="18"/>
                <w:szCs w:val="18"/>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359EA2CD" w14:textId="77777777" w:rsidR="000A01E7" w:rsidRPr="006E08AE" w:rsidRDefault="000A01E7" w:rsidP="000A01E7">
            <w:pPr>
              <w:rPr>
                <w:rFonts w:ascii="Arial" w:eastAsia="Calibri" w:hAnsi="Arial" w:cs="Arial"/>
                <w:sz w:val="18"/>
                <w:szCs w:val="18"/>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21D868A4" w14:textId="77777777" w:rsidR="000A01E7" w:rsidRPr="006E08AE" w:rsidRDefault="000A01E7" w:rsidP="000A01E7">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06333113" w14:textId="77777777" w:rsidR="000A01E7" w:rsidRPr="006E08AE" w:rsidRDefault="000A01E7" w:rsidP="000A01E7">
            <w:pPr>
              <w:tabs>
                <w:tab w:val="left" w:pos="720"/>
              </w:tabs>
              <w:contextualSpacing/>
              <w:rPr>
                <w:rFonts w:ascii="Arial" w:eastAsia="Calibri" w:hAnsi="Arial" w:cs="Arial"/>
                <w:sz w:val="18"/>
                <w:szCs w:val="18"/>
              </w:rPr>
            </w:pPr>
            <w:r>
              <w:rPr>
                <w:rFonts w:ascii="Arial" w:eastAsia="Calibri" w:hAnsi="Arial" w:cs="Arial"/>
                <w:sz w:val="18"/>
                <w:szCs w:val="18"/>
              </w:rPr>
              <w:t xml:space="preserve">funding formula excludes non-school </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74EE630A" w14:textId="77777777" w:rsidR="000A01E7" w:rsidRPr="006E08AE" w:rsidRDefault="000A01E7" w:rsidP="000A01E7">
            <w:pPr>
              <w:jc w:val="center"/>
              <w:rPr>
                <w:rFonts w:ascii="Arial" w:eastAsia="Calibri" w:hAnsi="Arial" w:cs="Arial"/>
                <w:sz w:val="18"/>
                <w:szCs w:val="18"/>
              </w:rPr>
            </w:pPr>
          </w:p>
        </w:tc>
      </w:tr>
      <w:tr w:rsidR="000A01E7" w:rsidRPr="006E08AE" w14:paraId="6F5EA168" w14:textId="77777777" w:rsidTr="000A01E7">
        <w:trPr>
          <w:gridAfter w:val="1"/>
          <w:wAfter w:w="70" w:type="dxa"/>
        </w:trPr>
        <w:tc>
          <w:tcPr>
            <w:tcW w:w="18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FB301" w14:textId="77777777" w:rsidR="000A01E7" w:rsidRPr="006E08AE" w:rsidRDefault="000A01E7" w:rsidP="000A01E7">
            <w:pPr>
              <w:rPr>
                <w:rFonts w:ascii="Arial" w:eastAsia="Calibri" w:hAnsi="Arial" w:cs="Arial"/>
                <w:sz w:val="18"/>
                <w:szCs w:val="18"/>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35130C99" w14:textId="77777777" w:rsidR="000A01E7" w:rsidRPr="006E08AE" w:rsidRDefault="000A01E7" w:rsidP="000A01E7">
            <w:pPr>
              <w:jc w:val="center"/>
              <w:rPr>
                <w:rFonts w:ascii="Arial" w:eastAsia="Calibri" w:hAnsi="Arial" w:cs="Arial"/>
                <w:sz w:val="18"/>
                <w:szCs w:val="18"/>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36D71E40" w14:textId="77777777" w:rsidR="000A01E7" w:rsidRPr="006E08AE" w:rsidRDefault="000A01E7" w:rsidP="000A01E7">
            <w:pPr>
              <w:rPr>
                <w:rFonts w:ascii="Arial" w:eastAsia="Calibri" w:hAnsi="Arial" w:cs="Arial"/>
                <w:sz w:val="18"/>
                <w:szCs w:val="18"/>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14:paraId="75B060D4" w14:textId="77777777" w:rsidR="000A01E7" w:rsidRPr="006E08AE" w:rsidRDefault="000A01E7" w:rsidP="000A01E7">
            <w:pPr>
              <w:jc w:val="center"/>
              <w:rPr>
                <w:rFonts w:ascii="Arial" w:eastAsia="Calibri" w:hAnsi="Arial" w:cs="Arial"/>
                <w:sz w:val="18"/>
                <w:szCs w:val="18"/>
              </w:rPr>
            </w:pPr>
          </w:p>
        </w:tc>
        <w:tc>
          <w:tcPr>
            <w:tcW w:w="4109" w:type="dxa"/>
            <w:tcBorders>
              <w:top w:val="nil"/>
              <w:left w:val="nil"/>
              <w:bottom w:val="single" w:sz="8" w:space="0" w:color="auto"/>
              <w:right w:val="single" w:sz="8" w:space="0" w:color="auto"/>
            </w:tcBorders>
            <w:tcMar>
              <w:top w:w="0" w:type="dxa"/>
              <w:left w:w="108" w:type="dxa"/>
              <w:bottom w:w="0" w:type="dxa"/>
              <w:right w:w="108" w:type="dxa"/>
            </w:tcMar>
          </w:tcPr>
          <w:p w14:paraId="0A7F8E38" w14:textId="77777777" w:rsidR="000A01E7" w:rsidRPr="006E08AE" w:rsidRDefault="000A01E7" w:rsidP="000A01E7">
            <w:pPr>
              <w:tabs>
                <w:tab w:val="left" w:pos="720"/>
              </w:tabs>
              <w:contextualSpacing/>
              <w:rPr>
                <w:rFonts w:ascii="Arial" w:eastAsia="Calibri" w:hAnsi="Arial" w:cs="Arial"/>
                <w:sz w:val="18"/>
                <w:szCs w:val="18"/>
              </w:rPr>
            </w:pPr>
            <w:r>
              <w:rPr>
                <w:rFonts w:ascii="Arial" w:eastAsia="Calibri" w:hAnsi="Arial" w:cs="Arial"/>
                <w:sz w:val="18"/>
                <w:szCs w:val="18"/>
              </w:rPr>
              <w:t>members except for the PVI representative</w:t>
            </w:r>
          </w:p>
        </w:tc>
        <w:tc>
          <w:tcPr>
            <w:tcW w:w="358" w:type="dxa"/>
            <w:tcBorders>
              <w:top w:val="nil"/>
              <w:left w:val="nil"/>
              <w:bottom w:val="single" w:sz="8" w:space="0" w:color="auto"/>
              <w:right w:val="single" w:sz="8" w:space="0" w:color="auto"/>
            </w:tcBorders>
            <w:tcMar>
              <w:top w:w="0" w:type="dxa"/>
              <w:left w:w="108" w:type="dxa"/>
              <w:bottom w:w="0" w:type="dxa"/>
              <w:right w:w="108" w:type="dxa"/>
            </w:tcMar>
          </w:tcPr>
          <w:p w14:paraId="5A7FAEB8" w14:textId="77777777" w:rsidR="000A01E7" w:rsidRPr="006E08AE" w:rsidRDefault="000A01E7" w:rsidP="000A01E7">
            <w:pPr>
              <w:jc w:val="center"/>
              <w:rPr>
                <w:rFonts w:ascii="Arial" w:eastAsia="Calibri" w:hAnsi="Arial" w:cs="Arial"/>
                <w:sz w:val="18"/>
                <w:szCs w:val="18"/>
              </w:rPr>
            </w:pPr>
          </w:p>
        </w:tc>
      </w:tr>
    </w:tbl>
    <w:p w14:paraId="1C630772" w14:textId="77777777" w:rsidR="00DE6F99" w:rsidRDefault="00DE6F99" w:rsidP="00DE6F99">
      <w:pPr>
        <w:rPr>
          <w:rFonts w:ascii="Arial" w:hAnsi="Arial" w:cs="Arial"/>
          <w:b/>
          <w:sz w:val="28"/>
        </w:rPr>
      </w:pPr>
    </w:p>
    <w:p w14:paraId="1E217336" w14:textId="77777777" w:rsidR="00A50F25" w:rsidRPr="00A50F25" w:rsidRDefault="00A50F25" w:rsidP="00D4693B">
      <w:pPr>
        <w:pStyle w:val="Heading1"/>
      </w:pPr>
      <w:r w:rsidRPr="00A50F25">
        <w:t xml:space="preserve">Item for Information </w:t>
      </w:r>
      <w:r w:rsidR="002C00BE">
        <w:t>- Purpose</w:t>
      </w:r>
    </w:p>
    <w:p w14:paraId="4288CE8D" w14:textId="3AF02A4B" w:rsidR="00311406" w:rsidRDefault="00CD26F9" w:rsidP="00D4693B">
      <w:pPr>
        <w:pStyle w:val="Heading2"/>
      </w:pPr>
      <w:r>
        <w:t>The paper sets out</w:t>
      </w:r>
      <w:r w:rsidR="00311406">
        <w:t xml:space="preserve"> the 2024-25 proposed funding arrangements for:</w:t>
      </w:r>
    </w:p>
    <w:p w14:paraId="4CB481F1" w14:textId="7E922844" w:rsidR="00311406" w:rsidRDefault="00311406" w:rsidP="00D4693B">
      <w:pPr>
        <w:pStyle w:val="Heading2"/>
        <w:numPr>
          <w:ilvl w:val="0"/>
          <w:numId w:val="64"/>
        </w:numPr>
      </w:pPr>
      <w:r>
        <w:t>Special Schools</w:t>
      </w:r>
    </w:p>
    <w:p w14:paraId="596F1A04" w14:textId="6FFA031B" w:rsidR="00311406" w:rsidRDefault="00CD26F9" w:rsidP="00D4693B">
      <w:pPr>
        <w:pStyle w:val="Heading2"/>
        <w:numPr>
          <w:ilvl w:val="0"/>
          <w:numId w:val="64"/>
        </w:numPr>
      </w:pPr>
      <w:r>
        <w:t xml:space="preserve">High Needs </w:t>
      </w:r>
      <w:r w:rsidR="00311406">
        <w:t>(D</w:t>
      </w:r>
      <w:r w:rsidR="007676EE">
        <w:t xml:space="preserve">elivering </w:t>
      </w:r>
      <w:r w:rsidR="00311406">
        <w:t>B</w:t>
      </w:r>
      <w:r w:rsidR="007676EE">
        <w:t xml:space="preserve">etter </w:t>
      </w:r>
      <w:r w:rsidR="00311406">
        <w:t>V</w:t>
      </w:r>
      <w:r w:rsidR="007676EE">
        <w:t>alue</w:t>
      </w:r>
      <w:r w:rsidR="00311406">
        <w:t>) Funding highlighting:</w:t>
      </w:r>
    </w:p>
    <w:p w14:paraId="5DBA7118" w14:textId="77777777" w:rsidR="009363C5" w:rsidRDefault="009363C5" w:rsidP="00D4693B">
      <w:pPr>
        <w:pStyle w:val="Heading2"/>
        <w:numPr>
          <w:ilvl w:val="1"/>
          <w:numId w:val="64"/>
        </w:numPr>
      </w:pPr>
      <w:r>
        <w:t>T</w:t>
      </w:r>
      <w:r w:rsidR="00311406">
        <w:t xml:space="preserve">he deficit position, the projected growth in the deficit over the </w:t>
      </w:r>
      <w:r w:rsidR="00CD26F9">
        <w:t>4 years to 2026-27</w:t>
      </w:r>
    </w:p>
    <w:p w14:paraId="044DAD72" w14:textId="2417083B" w:rsidR="00A50F25" w:rsidRPr="00900D92" w:rsidRDefault="009363C5" w:rsidP="00D4693B">
      <w:pPr>
        <w:pStyle w:val="Heading2"/>
        <w:numPr>
          <w:ilvl w:val="1"/>
          <w:numId w:val="64"/>
        </w:numPr>
      </w:pPr>
      <w:r>
        <w:t>U</w:t>
      </w:r>
      <w:r w:rsidR="00311406">
        <w:t xml:space="preserve">pdate on </w:t>
      </w:r>
      <w:r w:rsidR="002C00BE">
        <w:t xml:space="preserve">the work with Department of Education (DfE) </w:t>
      </w:r>
      <w:r w:rsidR="006E0FDB">
        <w:t xml:space="preserve">Deficit Management Plan (DMP) </w:t>
      </w:r>
      <w:r w:rsidR="002C00BE">
        <w:t xml:space="preserve">to develop a </w:t>
      </w:r>
      <w:r w:rsidR="007676EE">
        <w:t xml:space="preserve">financial </w:t>
      </w:r>
      <w:r w:rsidR="002C00BE">
        <w:t>strategy to mitigate the deficit</w:t>
      </w:r>
      <w:r w:rsidR="006E0FDB">
        <w:t xml:space="preserve"> (Delivering Better Value, DBV)</w:t>
      </w:r>
      <w:r w:rsidR="002C00BE">
        <w:t xml:space="preserve">.   </w:t>
      </w:r>
    </w:p>
    <w:p w14:paraId="3FAD2B09" w14:textId="01C2BA55" w:rsidR="009363C5" w:rsidRDefault="009363C5" w:rsidP="00D4693B">
      <w:pPr>
        <w:pStyle w:val="Heading1"/>
      </w:pPr>
      <w:r>
        <w:t>Recommendation for Schools Forum</w:t>
      </w:r>
    </w:p>
    <w:p w14:paraId="2B968E2A" w14:textId="77777777" w:rsidR="007676EE" w:rsidRDefault="007676EE" w:rsidP="00D4693B">
      <w:pPr>
        <w:pStyle w:val="Heading2"/>
      </w:pPr>
      <w:r>
        <w:t>For Special Schools and Academies, Schools Forum is asked to:</w:t>
      </w:r>
    </w:p>
    <w:p w14:paraId="49D8993B" w14:textId="77777777" w:rsidR="007676EE" w:rsidRPr="00D865FE" w:rsidRDefault="007676EE" w:rsidP="00D4693B">
      <w:pPr>
        <w:pStyle w:val="Heading3"/>
      </w:pPr>
      <w:r>
        <w:t>C</w:t>
      </w:r>
      <w:r w:rsidRPr="00D865FE">
        <w:t xml:space="preserve">onfirm support of no change for </w:t>
      </w:r>
      <w:r>
        <w:t>2024-25</w:t>
      </w:r>
      <w:r w:rsidRPr="00D865FE">
        <w:t xml:space="preserve"> to the principles of the special school / special academy funding model used in </w:t>
      </w:r>
      <w:r>
        <w:t xml:space="preserve">2023-24 </w:t>
      </w:r>
    </w:p>
    <w:p w14:paraId="157B3A36" w14:textId="77777777" w:rsidR="007676EE" w:rsidRDefault="007676EE" w:rsidP="00D4693B">
      <w:pPr>
        <w:pStyle w:val="Heading3"/>
      </w:pPr>
      <w:r>
        <w:t>N</w:t>
      </w:r>
      <w:r w:rsidRPr="00D865FE">
        <w:t xml:space="preserve">ote the increase in top up rates to replicate the </w:t>
      </w:r>
      <w:r w:rsidRPr="008B171D">
        <w:t>0.5%</w:t>
      </w:r>
      <w:r w:rsidRPr="00D865FE">
        <w:t xml:space="preserve"> pupil-led funding per pupil increase to be received by primary and secondary schools </w:t>
      </w:r>
      <w:r>
        <w:t>in 2024-25</w:t>
      </w:r>
    </w:p>
    <w:p w14:paraId="3374F1ED" w14:textId="77777777" w:rsidR="007676EE" w:rsidRPr="00D865FE" w:rsidRDefault="007676EE" w:rsidP="00D4693B">
      <w:pPr>
        <w:pStyle w:val="Heading3"/>
      </w:pPr>
      <w:r>
        <w:t>Note the requirements under the DSG conditions of grant in respect of the Minimum Funding Guarantee and the requirement to pass on part of the additional high needs funding for 2024-25 to special schools, PRUs and the hospital school.</w:t>
      </w:r>
    </w:p>
    <w:p w14:paraId="0F0A58CC" w14:textId="031449A8" w:rsidR="00CA6BFF" w:rsidRDefault="007676EE" w:rsidP="00D4693B">
      <w:pPr>
        <w:pStyle w:val="Heading2"/>
      </w:pPr>
      <w:r>
        <w:t xml:space="preserve">For High Needs, </w:t>
      </w:r>
      <w:r w:rsidR="00CA6BFF">
        <w:t>Schools Forum is asked to note the report.</w:t>
      </w:r>
    </w:p>
    <w:p w14:paraId="085BB4AA" w14:textId="2846D02E" w:rsidR="009363C5" w:rsidRDefault="009363C5" w:rsidP="00D4693B">
      <w:pPr>
        <w:pStyle w:val="Heading1"/>
      </w:pPr>
      <w:r>
        <w:t>Special Schools Funding</w:t>
      </w:r>
    </w:p>
    <w:p w14:paraId="1689479A" w14:textId="3089D019" w:rsidR="002107F6" w:rsidRPr="00D865FE" w:rsidRDefault="002107F6" w:rsidP="00D4693B">
      <w:pPr>
        <w:pStyle w:val="Heading2"/>
      </w:pPr>
      <w:r w:rsidRPr="00D865FE">
        <w:t xml:space="preserve">The principles of the special schools / special academies funding model for </w:t>
      </w:r>
      <w:r>
        <w:t>2024-25</w:t>
      </w:r>
      <w:r w:rsidRPr="00D865FE">
        <w:t xml:space="preserve"> are proposed to remain the same as that agreed by special school headteachers in 2014 and used since the 2014-15 financial year. Details of the funding model are outlined at Annex </w:t>
      </w:r>
      <w:r w:rsidR="006E0FDB">
        <w:t>A</w:t>
      </w:r>
      <w:r w:rsidRPr="00D865FE">
        <w:t xml:space="preserve">. </w:t>
      </w:r>
    </w:p>
    <w:p w14:paraId="4CFF1234" w14:textId="639099A4" w:rsidR="002107F6" w:rsidRPr="00D865FE" w:rsidRDefault="002107F6" w:rsidP="00D4693B">
      <w:pPr>
        <w:pStyle w:val="Heading2"/>
      </w:pPr>
      <w:r w:rsidRPr="00D865FE">
        <w:t xml:space="preserve">The local authority, following consultation with all schools and its Schools Forum, has continued to implement the National Funding Formula (NFF) as closely as possible. As part of the application of this funding approach, all primary and secondary mainstream school settings have initially been guaranteed a </w:t>
      </w:r>
      <w:r w:rsidRPr="008B171D">
        <w:t>0.5%</w:t>
      </w:r>
      <w:r w:rsidRPr="00D865FE">
        <w:t xml:space="preserve"> increase on pupil-led funding per pupil. As in previous financial years, a similar increase as used in the mainstream </w:t>
      </w:r>
      <w:r w:rsidRPr="00D865FE">
        <w:lastRenderedPageBreak/>
        <w:t xml:space="preserve">schools funding model will be applied to pupil related factors in the special schools’ formula model in </w:t>
      </w:r>
      <w:r>
        <w:t>2023-24</w:t>
      </w:r>
      <w:r w:rsidRPr="00D865FE">
        <w:t xml:space="preserve">. </w:t>
      </w:r>
    </w:p>
    <w:p w14:paraId="37444E70" w14:textId="1875DD7B" w:rsidR="002107F6" w:rsidRDefault="002107F6" w:rsidP="00D4693B">
      <w:pPr>
        <w:pStyle w:val="Heading2"/>
      </w:pPr>
      <w:r w:rsidRPr="00D865FE">
        <w:t xml:space="preserve">The top-up factor will be increased </w:t>
      </w:r>
      <w:r w:rsidRPr="006764FA">
        <w:t>from £8,1</w:t>
      </w:r>
      <w:r w:rsidR="00F015C9">
        <w:t>81</w:t>
      </w:r>
      <w:r w:rsidRPr="006764FA">
        <w:t xml:space="preserve"> in 202</w:t>
      </w:r>
      <w:r w:rsidR="00F015C9">
        <w:t>3</w:t>
      </w:r>
      <w:r w:rsidRPr="006764FA">
        <w:t>-2</w:t>
      </w:r>
      <w:r w:rsidR="00F015C9">
        <w:t>4</w:t>
      </w:r>
      <w:r w:rsidRPr="006764FA">
        <w:t xml:space="preserve"> to £8,</w:t>
      </w:r>
      <w:r w:rsidR="00F015C9">
        <w:t>225</w:t>
      </w:r>
      <w:r w:rsidRPr="00D865FE">
        <w:t>. This increase will be a base level funding adjustment and will form the top up rates for future years. All other formula factors including Planned Places will be allocated at the same rate as in previous years</w:t>
      </w:r>
      <w:r>
        <w:t xml:space="preserve">. </w:t>
      </w:r>
      <w:r w:rsidR="00F015C9">
        <w:t xml:space="preserve">The arrangement </w:t>
      </w:r>
      <w:r w:rsidRPr="007F7678">
        <w:t>incorporat</w:t>
      </w:r>
      <w:r w:rsidR="00F015C9">
        <w:t>es the</w:t>
      </w:r>
      <w:r w:rsidRPr="007F7678">
        <w:t xml:space="preserve"> teachers’ pay grant</w:t>
      </w:r>
      <w:r>
        <w:t xml:space="preserve"> </w:t>
      </w:r>
      <w:r w:rsidRPr="007F7678">
        <w:t>(TPG) and teachers’ pensions employer contribution grant (TPECG) into the national funding formul</w:t>
      </w:r>
      <w:r>
        <w:t>a.</w:t>
      </w:r>
    </w:p>
    <w:p w14:paraId="5FBD9DFD" w14:textId="756E9863" w:rsidR="002107F6" w:rsidRPr="00E36543" w:rsidRDefault="002107F6" w:rsidP="00D4693B">
      <w:pPr>
        <w:pStyle w:val="Heading2"/>
      </w:pPr>
      <w:r w:rsidRPr="00E36543">
        <w:t>The Special School funding will consist of:</w:t>
      </w:r>
    </w:p>
    <w:p w14:paraId="0862DC30" w14:textId="6CFEBB65" w:rsidR="002107F6" w:rsidRPr="00480F85" w:rsidRDefault="002107F6" w:rsidP="002107F6">
      <w:pPr>
        <w:pStyle w:val="ListParagraph"/>
        <w:numPr>
          <w:ilvl w:val="0"/>
          <w:numId w:val="66"/>
        </w:numPr>
        <w:ind w:left="1276"/>
      </w:pPr>
      <w:r w:rsidRPr="00480F85">
        <w:t>Funding based on planned places</w:t>
      </w:r>
      <w:r w:rsidR="00AB79E9" w:rsidRPr="00480F85">
        <w:t>.</w:t>
      </w:r>
    </w:p>
    <w:p w14:paraId="53A5D8C8" w14:textId="21108CA4" w:rsidR="002107F6" w:rsidRPr="00480F85" w:rsidRDefault="002107F6" w:rsidP="002107F6">
      <w:pPr>
        <w:pStyle w:val="ListParagraph"/>
        <w:numPr>
          <w:ilvl w:val="0"/>
          <w:numId w:val="66"/>
        </w:numPr>
        <w:ind w:left="1276"/>
      </w:pPr>
      <w:r w:rsidRPr="00480F85">
        <w:t>Funding for top-up and other factors</w:t>
      </w:r>
      <w:r w:rsidR="00AB79E9" w:rsidRPr="00480F85">
        <w:t>.</w:t>
      </w:r>
      <w:r w:rsidRPr="00480F85">
        <w:t xml:space="preserve"> </w:t>
      </w:r>
      <w:r w:rsidR="00AB79E9" w:rsidRPr="00480F85">
        <w:t xml:space="preserve"> </w:t>
      </w:r>
    </w:p>
    <w:p w14:paraId="1C7A451A" w14:textId="7C922568" w:rsidR="002107F6" w:rsidRPr="00480F85" w:rsidRDefault="002107F6" w:rsidP="002107F6">
      <w:pPr>
        <w:pStyle w:val="ListParagraph"/>
        <w:numPr>
          <w:ilvl w:val="0"/>
          <w:numId w:val="66"/>
        </w:numPr>
        <w:ind w:left="1276"/>
      </w:pPr>
      <w:r w:rsidRPr="00480F85">
        <w:t>An historic amount for Pay and Pensions funding - formerly TPG and TPECG</w:t>
      </w:r>
      <w:r w:rsidR="00480F85" w:rsidRPr="00480F85">
        <w:t>.</w:t>
      </w:r>
    </w:p>
    <w:p w14:paraId="19B9C51F" w14:textId="0A3BCA99" w:rsidR="002107F6" w:rsidRPr="00480F85" w:rsidRDefault="002107F6" w:rsidP="002107F6">
      <w:pPr>
        <w:pStyle w:val="ListParagraph"/>
        <w:numPr>
          <w:ilvl w:val="0"/>
          <w:numId w:val="66"/>
        </w:numPr>
        <w:ind w:left="1276"/>
      </w:pPr>
      <w:r w:rsidRPr="00480F85">
        <w:t>An adjustment in respect of Minimum Funding Guarantee</w:t>
      </w:r>
      <w:r w:rsidR="00480F85" w:rsidRPr="00480F85">
        <w:t>.</w:t>
      </w:r>
    </w:p>
    <w:p w14:paraId="5BFA597B" w14:textId="7189697F" w:rsidR="002107F6" w:rsidRPr="00480F85" w:rsidRDefault="002107F6" w:rsidP="00480F85">
      <w:pPr>
        <w:pStyle w:val="ListParagraph"/>
        <w:numPr>
          <w:ilvl w:val="0"/>
          <w:numId w:val="66"/>
        </w:numPr>
        <w:ind w:left="1276"/>
      </w:pPr>
      <w:r w:rsidRPr="00480F85">
        <w:t>An adjustment set out in the DSG conditions of grant to pass funding to special schools</w:t>
      </w:r>
      <w:r w:rsidR="00480F85" w:rsidRPr="00480F85">
        <w:t>.</w:t>
      </w:r>
      <w:r w:rsidRPr="00480F85">
        <w:t xml:space="preserve">       </w:t>
      </w:r>
      <w:r>
        <w:t xml:space="preserve">              </w:t>
      </w:r>
    </w:p>
    <w:p w14:paraId="2E47A6D1" w14:textId="6E2C2EF8" w:rsidR="002107F6" w:rsidRPr="00E266F7" w:rsidRDefault="002107F6" w:rsidP="00D4693B">
      <w:pPr>
        <w:pStyle w:val="Heading2"/>
      </w:pPr>
      <w:r w:rsidRPr="00E266F7">
        <w:t>The Minimum Funding Guarantee (MFG) will continue to apply to maintained special schools and special academies (including special free schools) in 202</w:t>
      </w:r>
      <w:r w:rsidR="00F015C9">
        <w:t>4</w:t>
      </w:r>
      <w:r w:rsidRPr="00E266F7">
        <w:t>-2</w:t>
      </w:r>
      <w:r w:rsidR="00F015C9">
        <w:t>5</w:t>
      </w:r>
      <w:r w:rsidRPr="00E266F7">
        <w:t>. This is a protection mechanism for special schools. For 202</w:t>
      </w:r>
      <w:r w:rsidR="00F015C9">
        <w:t>4</w:t>
      </w:r>
      <w:r w:rsidRPr="00E266F7">
        <w:t xml:space="preserve"> to 202</w:t>
      </w:r>
      <w:r w:rsidR="00F015C9">
        <w:t>5</w:t>
      </w:r>
      <w:r w:rsidRPr="00E266F7">
        <w:t xml:space="preserve"> this will be 3% over 2 years, based on a like-for-like comparison with a special school’s overall budget in 202</w:t>
      </w:r>
      <w:r w:rsidR="00F34270">
        <w:t>3</w:t>
      </w:r>
      <w:r w:rsidRPr="00E266F7">
        <w:t xml:space="preserve"> to 202</w:t>
      </w:r>
      <w:r w:rsidR="00F34270">
        <w:t>4</w:t>
      </w:r>
      <w:r w:rsidRPr="00E266F7">
        <w:t xml:space="preserve">. This </w:t>
      </w:r>
      <w:r w:rsidR="00B0428C" w:rsidRPr="00E266F7">
        <w:t>considers</w:t>
      </w:r>
      <w:r w:rsidRPr="00E266F7">
        <w:t xml:space="preserve"> the additional high needs funding that local authorities are receiving in 202</w:t>
      </w:r>
      <w:r w:rsidR="004920EE">
        <w:t>3</w:t>
      </w:r>
      <w:r w:rsidRPr="00E266F7">
        <w:t xml:space="preserve"> to 202</w:t>
      </w:r>
      <w:r w:rsidR="004920EE">
        <w:t>4</w:t>
      </w:r>
      <w:r w:rsidRPr="00E266F7">
        <w:t xml:space="preserve"> and 202</w:t>
      </w:r>
      <w:r w:rsidR="004920EE">
        <w:t>4</w:t>
      </w:r>
      <w:r w:rsidRPr="00E266F7">
        <w:t xml:space="preserve"> to 202</w:t>
      </w:r>
      <w:r w:rsidR="004920EE">
        <w:t>5</w:t>
      </w:r>
      <w:r w:rsidRPr="00E266F7">
        <w:t>, some of which is intended to help with the additional costs that schools are facing.</w:t>
      </w:r>
      <w:r>
        <w:t xml:space="preserve"> The 202</w:t>
      </w:r>
      <w:r w:rsidR="004920EE">
        <w:t>4</w:t>
      </w:r>
      <w:r>
        <w:t>-2</w:t>
      </w:r>
      <w:r w:rsidR="004920EE">
        <w:t>5</w:t>
      </w:r>
      <w:r>
        <w:t xml:space="preserve"> allocation (£57</w:t>
      </w:r>
      <w:r w:rsidR="004920EE">
        <w:t>3k</w:t>
      </w:r>
      <w:r>
        <w:t xml:space="preserve">) </w:t>
      </w:r>
      <w:r w:rsidR="004920EE">
        <w:t xml:space="preserve">compared to </w:t>
      </w:r>
      <w:r>
        <w:t>202</w:t>
      </w:r>
      <w:r w:rsidR="004920EE">
        <w:t>3</w:t>
      </w:r>
      <w:r>
        <w:t>-2</w:t>
      </w:r>
      <w:r w:rsidR="004920EE">
        <w:t>4</w:t>
      </w:r>
      <w:r>
        <w:t xml:space="preserve"> (£</w:t>
      </w:r>
      <w:r w:rsidR="004920EE">
        <w:t>571k</w:t>
      </w:r>
      <w:r>
        <w:t xml:space="preserve">).  </w:t>
      </w:r>
    </w:p>
    <w:p w14:paraId="1A707388" w14:textId="3429FDBF" w:rsidR="002107F6" w:rsidRPr="00D865FE" w:rsidRDefault="002107F6" w:rsidP="00D4693B">
      <w:pPr>
        <w:pStyle w:val="Heading2"/>
      </w:pPr>
      <w:r w:rsidRPr="00D865FE">
        <w:t xml:space="preserve">High needs place funding for the financial year </w:t>
      </w:r>
      <w:r>
        <w:t>202</w:t>
      </w:r>
      <w:r w:rsidR="004920EE">
        <w:t>4</w:t>
      </w:r>
      <w:r>
        <w:t>-2</w:t>
      </w:r>
      <w:r w:rsidR="004920EE">
        <w:t>5</w:t>
      </w:r>
      <w:r w:rsidRPr="00D865FE">
        <w:t xml:space="preserve"> is based on High Needs place numbers confirmed and published by the ESFA for academies, along with the latest information available from the SEN team in respect of local authority maintained special schools. Academies will receive their place funding direct from the ESFA, and the authority will pass place funding to maintained special schools. Top-up place numbers follow the same notification methodology</w:t>
      </w:r>
      <w:r>
        <w:t>,</w:t>
      </w:r>
      <w:r w:rsidRPr="00D865FE">
        <w:t xml:space="preserve"> with the majority of funding being passed to all special schools’ settings by the local authority. The payment of top-up funding of places in special schools and special academies commissioned by LAs other than Oxfordshire will be met by the commissioning authority. Responsibility for collecting top-up income from other local authorities continues to be the responsibility of relevant special school.</w:t>
      </w:r>
    </w:p>
    <w:p w14:paraId="72D524D9" w14:textId="1A7418BA" w:rsidR="002107F6" w:rsidRPr="00D865FE" w:rsidRDefault="002107F6" w:rsidP="00D4693B">
      <w:pPr>
        <w:pStyle w:val="Heading2"/>
      </w:pPr>
      <w:bookmarkStart w:id="0" w:name="_Hlk126139880"/>
      <w:r w:rsidRPr="00D865FE">
        <w:t xml:space="preserve">The number of places at </w:t>
      </w:r>
      <w:bookmarkEnd w:id="0"/>
      <w:r w:rsidRPr="00D865FE">
        <w:t xml:space="preserve">each special school is made up of Composite place numbers. Composite places numbers are calculated for the </w:t>
      </w:r>
      <w:r>
        <w:t>202</w:t>
      </w:r>
      <w:r w:rsidR="004920EE">
        <w:t>4</w:t>
      </w:r>
      <w:r>
        <w:t>-2</w:t>
      </w:r>
      <w:r w:rsidR="004920EE">
        <w:t>5</w:t>
      </w:r>
      <w:r w:rsidRPr="00D865FE">
        <w:t xml:space="preserve"> financial year - translating academic years to financial years on the basis of 5/12 (April to August), 7/12 (September to March) for pre-16, and 4/12 (April to July), 8/12 (August to March) for post-16. </w:t>
      </w:r>
    </w:p>
    <w:p w14:paraId="1D795DA3" w14:textId="77777777" w:rsidR="002107F6" w:rsidRPr="00D865FE" w:rsidRDefault="002107F6" w:rsidP="00D4693B">
      <w:pPr>
        <w:pStyle w:val="Heading2"/>
      </w:pPr>
      <w:r w:rsidRPr="00D865FE">
        <w:t>The ESFA funds academies from the LA’s High Needs budget for each agreed place, regardless of whether the place is occupied. The LA, therefore, adopts a cautious approach when agreeing place planning submission numbers.</w:t>
      </w:r>
    </w:p>
    <w:p w14:paraId="1D22E848" w14:textId="72E5536F" w:rsidR="002107F6" w:rsidRPr="00D865FE" w:rsidRDefault="002107F6" w:rsidP="00D4693B">
      <w:pPr>
        <w:pStyle w:val="Heading2"/>
      </w:pPr>
      <w:r w:rsidRPr="00D865FE">
        <w:t xml:space="preserve">Top-up funding for Oxfordshire pupils will be paid to special settings on a monthly basis. The amount payable for all schools and academies will be based on an initial estimate of the Oxfordshire pupils attending during the financial year. If the actual number of children is significantly different, the top up funding will be adjusted in year on the basis of pupil information submitted by special schools and special academies to the local authority’s Special Educational Needs (SEN) team. As in previous years, special schools and special academies will be expected to agree top up funding with </w:t>
      </w:r>
      <w:r w:rsidRPr="00D865FE">
        <w:lastRenderedPageBreak/>
        <w:t xml:space="preserve">other local authorities for out of county pupils on roll and be responsible for the collection of the funding. </w:t>
      </w:r>
    </w:p>
    <w:p w14:paraId="31863480" w14:textId="2BFAE3EB" w:rsidR="002107F6" w:rsidRDefault="002107F6" w:rsidP="00D4693B">
      <w:pPr>
        <w:pStyle w:val="Heading2"/>
      </w:pPr>
      <w:bookmarkStart w:id="1" w:name="_Hlk61940283"/>
      <w:r w:rsidRPr="008730BC">
        <w:t>The place funding rate remains at £10,000 per place. For the 202</w:t>
      </w:r>
      <w:r w:rsidR="004920EE">
        <w:t>4</w:t>
      </w:r>
      <w:r w:rsidRPr="008730BC">
        <w:t xml:space="preserve"> to 202</w:t>
      </w:r>
      <w:r w:rsidR="004920EE">
        <w:t>5</w:t>
      </w:r>
      <w:r w:rsidRPr="008730BC">
        <w:t xml:space="preserve"> financial year, the historic teachers’ pay grant (TPG), and the teachers’ pensions employer contribution grant (TPECG) have been incorporated into the high needs NFF allocations to local authorities. As in 202</w:t>
      </w:r>
      <w:r w:rsidR="004920EE">
        <w:t>3</w:t>
      </w:r>
      <w:r w:rsidRPr="008730BC">
        <w:t>-2</w:t>
      </w:r>
      <w:r w:rsidR="004920EE">
        <w:t>4</w:t>
      </w:r>
      <w:r w:rsidRPr="008730BC">
        <w:t xml:space="preserve">, an allocation of £660 per pupil will be included for </w:t>
      </w:r>
      <w:r w:rsidRPr="00BD4999">
        <w:t>202</w:t>
      </w:r>
      <w:r w:rsidR="004920EE">
        <w:t>4</w:t>
      </w:r>
      <w:r w:rsidRPr="00BD4999">
        <w:t>-2</w:t>
      </w:r>
      <w:r w:rsidR="004920EE">
        <w:t>5</w:t>
      </w:r>
      <w:r w:rsidRPr="00BD4999">
        <w:t xml:space="preserve"> to reflect the </w:t>
      </w:r>
      <w:r w:rsidRPr="008730BC">
        <w:t xml:space="preserve">teachers’ pay and pensions funding. This </w:t>
      </w:r>
      <w:r w:rsidRPr="00D865FE">
        <w:t>funding will be included as a separate line on special schools’ statements so that it is transparent and readily identifiable</w:t>
      </w:r>
      <w:bookmarkEnd w:id="1"/>
      <w:r w:rsidRPr="00D865FE">
        <w:t xml:space="preserve">. The Oxfordshire top-up per pupil rate is expected to be as stated in paragraph </w:t>
      </w:r>
      <w:r w:rsidR="00AB79E9">
        <w:t>3</w:t>
      </w:r>
      <w:r w:rsidRPr="00D865FE">
        <w:t>.</w:t>
      </w:r>
      <w:r>
        <w:t>3</w:t>
      </w:r>
      <w:r w:rsidRPr="00D865FE">
        <w:t xml:space="preserve"> above. Allocation of funding for other funding model elements for each school, including Premises, Split Sites, Hydrotherapy Pools and Deprivation, will be allocated in line with the principles agreed for 2014-15. There is a separate funding allocation, applied to a number of residential places, made to Woodeaton Manor special school in respect of its residential facility. </w:t>
      </w:r>
      <w:r w:rsidR="00AB79E9">
        <w:t>Appendix A</w:t>
      </w:r>
      <w:r w:rsidRPr="00D865FE">
        <w:t xml:space="preserve"> outlines the main funding principles used. </w:t>
      </w:r>
    </w:p>
    <w:p w14:paraId="46CC5788" w14:textId="77777777" w:rsidR="009363C5" w:rsidRPr="009363C5" w:rsidRDefault="009363C5" w:rsidP="002107F6">
      <w:pPr>
        <w:ind w:left="709"/>
      </w:pPr>
    </w:p>
    <w:p w14:paraId="3303A530" w14:textId="7D1777CB" w:rsidR="00D370DC" w:rsidRPr="00657B82" w:rsidRDefault="00D370DC" w:rsidP="00D4693B">
      <w:pPr>
        <w:pStyle w:val="Heading1"/>
      </w:pPr>
      <w:r w:rsidRPr="00657B82">
        <w:t xml:space="preserve">High Needs </w:t>
      </w:r>
      <w:r w:rsidR="00311406">
        <w:t xml:space="preserve">(DBV) </w:t>
      </w:r>
      <w:r w:rsidRPr="00657B82">
        <w:t>Forecast</w:t>
      </w:r>
    </w:p>
    <w:p w14:paraId="2DE4F3D0" w14:textId="77777777" w:rsidR="00D370DC" w:rsidRPr="00791BCB" w:rsidRDefault="00D370DC" w:rsidP="00D4693B">
      <w:pPr>
        <w:pStyle w:val="Heading2"/>
      </w:pPr>
      <w:r w:rsidRPr="002C00BE">
        <w:t xml:space="preserve">On 19 December 2023, the </w:t>
      </w:r>
      <w:r w:rsidR="002C00BE" w:rsidRPr="002C00BE">
        <w:t>DfE</w:t>
      </w:r>
      <w:r w:rsidRPr="002C00BE">
        <w:t xml:space="preserve"> confirmed the 2024/25 Dedicated Schools Grant (DSG) allocation for Oxfordshire will be £695.6m as shown in Table 1.  Expenditure on High Needs DSG funded services has been higher than the available funding since 2020/21 with </w:t>
      </w:r>
      <w:r w:rsidRPr="00791BCB">
        <w:t xml:space="preserve">deficits continuing to grow mainly </w:t>
      </w:r>
      <w:r w:rsidR="00293F82" w:rsidRPr="00791BCB">
        <w:t>because of</w:t>
      </w:r>
      <w:r w:rsidRPr="00791BCB">
        <w:t xml:space="preserve"> anticipated increases in demand.    As set out in </w:t>
      </w:r>
      <w:r w:rsidR="003D48AD" w:rsidRPr="00791BCB">
        <w:t>Section</w:t>
      </w:r>
      <w:r w:rsidR="00791BCB" w:rsidRPr="00791BCB">
        <w:t>s 4 and 5</w:t>
      </w:r>
      <w:r w:rsidRPr="00791BCB">
        <w:t xml:space="preserve"> forecast expenditure for 2024/25 is £21.3m higher than the grant funding after taking account of planned savings.   </w:t>
      </w:r>
    </w:p>
    <w:p w14:paraId="436A3014" w14:textId="77777777" w:rsidR="00D370DC" w:rsidRDefault="00D370DC" w:rsidP="00D370DC">
      <w:pPr>
        <w:tabs>
          <w:tab w:val="num" w:pos="1134"/>
        </w:tabs>
        <w:jc w:val="both"/>
        <w:rPr>
          <w:iCs/>
          <w:highlight w:val="yellow"/>
        </w:rPr>
      </w:pPr>
    </w:p>
    <w:p w14:paraId="5BC34DF9" w14:textId="77777777" w:rsidR="00D370DC" w:rsidRPr="00657B82" w:rsidRDefault="00D370DC" w:rsidP="00D370DC">
      <w:pPr>
        <w:ind w:firstLine="720"/>
        <w:jc w:val="both"/>
        <w:rPr>
          <w:b/>
          <w:bCs/>
          <w:iCs/>
        </w:rPr>
      </w:pPr>
      <w:r w:rsidRPr="00657B82">
        <w:rPr>
          <w:b/>
          <w:bCs/>
        </w:rPr>
        <w:t xml:space="preserve">Table </w:t>
      </w:r>
      <w:r>
        <w:rPr>
          <w:b/>
          <w:bCs/>
        </w:rPr>
        <w:t>1</w:t>
      </w:r>
      <w:r w:rsidRPr="00657B82">
        <w:rPr>
          <w:b/>
          <w:bCs/>
        </w:rPr>
        <w:t>:</w:t>
      </w:r>
      <w:r w:rsidRPr="00657B82">
        <w:rPr>
          <w:b/>
          <w:bCs/>
          <w:iCs/>
        </w:rPr>
        <w:t xml:space="preserve"> D</w:t>
      </w:r>
      <w:r>
        <w:rPr>
          <w:b/>
          <w:bCs/>
          <w:iCs/>
        </w:rPr>
        <w:t xml:space="preserve">edicated </w:t>
      </w:r>
      <w:r w:rsidRPr="00657B82">
        <w:rPr>
          <w:b/>
          <w:bCs/>
          <w:iCs/>
        </w:rPr>
        <w:t>S</w:t>
      </w:r>
      <w:r>
        <w:rPr>
          <w:b/>
          <w:bCs/>
          <w:iCs/>
        </w:rPr>
        <w:t xml:space="preserve">chools </w:t>
      </w:r>
      <w:r w:rsidRPr="00657B82">
        <w:rPr>
          <w:b/>
          <w:bCs/>
          <w:iCs/>
        </w:rPr>
        <w:t>G</w:t>
      </w:r>
      <w:r>
        <w:rPr>
          <w:b/>
          <w:bCs/>
          <w:iCs/>
        </w:rPr>
        <w:t>rant</w:t>
      </w:r>
      <w:r w:rsidRPr="00657B82">
        <w:rPr>
          <w:b/>
          <w:bCs/>
          <w:iCs/>
        </w:rPr>
        <w:t xml:space="preserve"> Funding </w:t>
      </w:r>
      <w:r>
        <w:rPr>
          <w:b/>
          <w:bCs/>
          <w:iCs/>
        </w:rPr>
        <w:t>for Oxfordshire</w:t>
      </w:r>
    </w:p>
    <w:p w14:paraId="6E933A12" w14:textId="77777777" w:rsidR="00D370DC" w:rsidRPr="00657B82" w:rsidRDefault="00D370DC" w:rsidP="00D370DC">
      <w:pPr>
        <w:tabs>
          <w:tab w:val="num" w:pos="1134"/>
        </w:tabs>
        <w:jc w:val="both"/>
        <w:rPr>
          <w:color w:val="000000"/>
          <w:highlight w:val="yellow"/>
        </w:rPr>
      </w:pPr>
    </w:p>
    <w:tbl>
      <w:tblPr>
        <w:tblpPr w:leftFromText="180" w:rightFromText="180" w:vertAnchor="text" w:horzAnchor="page" w:tblpX="1484" w:tblpY="-76"/>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82"/>
        <w:gridCol w:w="1276"/>
        <w:gridCol w:w="1436"/>
        <w:gridCol w:w="1603"/>
        <w:gridCol w:w="1379"/>
      </w:tblGrid>
      <w:tr w:rsidR="00D370DC" w:rsidRPr="00657B82" w14:paraId="35694927" w14:textId="77777777" w:rsidTr="00F546F9">
        <w:trPr>
          <w:trHeight w:val="495"/>
        </w:trPr>
        <w:tc>
          <w:tcPr>
            <w:tcW w:w="4082" w:type="dxa"/>
            <w:shd w:val="clear" w:color="auto" w:fill="00483A"/>
            <w:hideMark/>
          </w:tcPr>
          <w:p w14:paraId="2127C4F8" w14:textId="77777777" w:rsidR="00D370DC" w:rsidRPr="00F546F9" w:rsidRDefault="00D370DC" w:rsidP="00F546F9">
            <w:pPr>
              <w:rPr>
                <w:b/>
                <w:bCs/>
                <w:color w:val="FFFFFF"/>
                <w:lang w:eastAsia="en-GB"/>
              </w:rPr>
            </w:pPr>
            <w:r w:rsidRPr="00F546F9">
              <w:rPr>
                <w:b/>
                <w:bCs/>
                <w:color w:val="FFFFFF"/>
                <w:lang w:eastAsia="en-GB"/>
              </w:rPr>
              <w:t>Summary of Block Funding</w:t>
            </w:r>
          </w:p>
        </w:tc>
        <w:tc>
          <w:tcPr>
            <w:tcW w:w="1276" w:type="dxa"/>
            <w:shd w:val="clear" w:color="auto" w:fill="00483A"/>
            <w:hideMark/>
          </w:tcPr>
          <w:p w14:paraId="0DBC1E76" w14:textId="77777777" w:rsidR="00D370DC" w:rsidRPr="00F546F9" w:rsidRDefault="00D370DC" w:rsidP="00F546F9">
            <w:pPr>
              <w:jc w:val="center"/>
              <w:rPr>
                <w:b/>
                <w:bCs/>
                <w:color w:val="FFFFFF"/>
                <w:lang w:eastAsia="en-GB"/>
              </w:rPr>
            </w:pPr>
            <w:r w:rsidRPr="00F546F9">
              <w:rPr>
                <w:b/>
                <w:bCs/>
                <w:color w:val="FFFFFF"/>
                <w:lang w:eastAsia="en-GB"/>
              </w:rPr>
              <w:t>2023/24</w:t>
            </w:r>
          </w:p>
          <w:p w14:paraId="04E94979" w14:textId="77777777" w:rsidR="00D370DC" w:rsidRPr="00F546F9" w:rsidRDefault="00D370DC" w:rsidP="00F546F9">
            <w:pPr>
              <w:jc w:val="center"/>
              <w:rPr>
                <w:b/>
                <w:bCs/>
                <w:color w:val="FFFFFF"/>
                <w:lang w:eastAsia="en-GB"/>
              </w:rPr>
            </w:pPr>
          </w:p>
          <w:p w14:paraId="04B447B4" w14:textId="77777777" w:rsidR="00D370DC" w:rsidRPr="00F546F9" w:rsidRDefault="00D370DC" w:rsidP="00F546F9">
            <w:pPr>
              <w:jc w:val="center"/>
              <w:rPr>
                <w:b/>
                <w:bCs/>
                <w:color w:val="FFFFFF"/>
                <w:lang w:eastAsia="en-GB"/>
              </w:rPr>
            </w:pPr>
          </w:p>
          <w:p w14:paraId="132F8655" w14:textId="77777777" w:rsidR="00D370DC" w:rsidRPr="00F546F9" w:rsidRDefault="00D370DC" w:rsidP="00F546F9">
            <w:pPr>
              <w:jc w:val="center"/>
              <w:rPr>
                <w:b/>
                <w:bCs/>
                <w:color w:val="FFFFFF"/>
                <w:lang w:eastAsia="en-GB"/>
              </w:rPr>
            </w:pPr>
            <w:r w:rsidRPr="00F546F9">
              <w:rPr>
                <w:b/>
                <w:bCs/>
                <w:color w:val="FFFFFF"/>
                <w:lang w:eastAsia="en-GB"/>
              </w:rPr>
              <w:t>£m</w:t>
            </w:r>
          </w:p>
        </w:tc>
        <w:tc>
          <w:tcPr>
            <w:tcW w:w="1436" w:type="dxa"/>
            <w:shd w:val="clear" w:color="auto" w:fill="00483A"/>
            <w:hideMark/>
          </w:tcPr>
          <w:p w14:paraId="2141185D" w14:textId="77777777" w:rsidR="00D370DC" w:rsidRPr="00F546F9" w:rsidRDefault="00D370DC" w:rsidP="00F546F9">
            <w:pPr>
              <w:jc w:val="center"/>
              <w:rPr>
                <w:b/>
                <w:bCs/>
                <w:color w:val="FFFFFF"/>
                <w:lang w:eastAsia="en-GB"/>
              </w:rPr>
            </w:pPr>
            <w:r w:rsidRPr="00F546F9">
              <w:rPr>
                <w:b/>
                <w:bCs/>
                <w:color w:val="FFFFFF"/>
                <w:lang w:eastAsia="en-GB"/>
              </w:rPr>
              <w:t>2024/25</w:t>
            </w:r>
          </w:p>
          <w:p w14:paraId="59506513" w14:textId="77777777" w:rsidR="00D370DC" w:rsidRPr="00F546F9" w:rsidRDefault="00D370DC" w:rsidP="00F546F9">
            <w:pPr>
              <w:jc w:val="center"/>
              <w:rPr>
                <w:b/>
                <w:bCs/>
                <w:color w:val="FFFFFF"/>
                <w:lang w:eastAsia="en-GB"/>
              </w:rPr>
            </w:pPr>
          </w:p>
          <w:p w14:paraId="7C427A11" w14:textId="77777777" w:rsidR="00D370DC" w:rsidRPr="00F546F9" w:rsidRDefault="00D370DC" w:rsidP="00F546F9">
            <w:pPr>
              <w:jc w:val="center"/>
              <w:rPr>
                <w:b/>
                <w:bCs/>
                <w:color w:val="FFFFFF"/>
                <w:lang w:eastAsia="en-GB"/>
              </w:rPr>
            </w:pPr>
          </w:p>
          <w:p w14:paraId="1D51DB29" w14:textId="77777777" w:rsidR="00D370DC" w:rsidRPr="00F546F9" w:rsidRDefault="00D370DC" w:rsidP="00F546F9">
            <w:pPr>
              <w:jc w:val="center"/>
              <w:rPr>
                <w:b/>
                <w:bCs/>
                <w:color w:val="FFFFFF"/>
                <w:lang w:eastAsia="en-GB"/>
              </w:rPr>
            </w:pPr>
            <w:r w:rsidRPr="00F546F9">
              <w:rPr>
                <w:b/>
                <w:bCs/>
                <w:color w:val="FFFFFF"/>
                <w:lang w:eastAsia="en-GB"/>
              </w:rPr>
              <w:t>£m</w:t>
            </w:r>
          </w:p>
        </w:tc>
        <w:tc>
          <w:tcPr>
            <w:tcW w:w="1603" w:type="dxa"/>
            <w:shd w:val="clear" w:color="auto" w:fill="00483A"/>
          </w:tcPr>
          <w:p w14:paraId="68516678" w14:textId="77777777" w:rsidR="00D370DC" w:rsidRPr="00F546F9" w:rsidRDefault="00D370DC" w:rsidP="00F546F9">
            <w:pPr>
              <w:jc w:val="center"/>
              <w:rPr>
                <w:b/>
                <w:bCs/>
                <w:color w:val="FFFFFF"/>
                <w:lang w:eastAsia="en-GB"/>
              </w:rPr>
            </w:pPr>
            <w:r w:rsidRPr="00F546F9">
              <w:rPr>
                <w:b/>
                <w:bCs/>
                <w:color w:val="FFFFFF"/>
                <w:lang w:eastAsia="en-GB"/>
              </w:rPr>
              <w:t>2024/25</w:t>
            </w:r>
          </w:p>
          <w:p w14:paraId="15D4FABD" w14:textId="77777777" w:rsidR="00D370DC" w:rsidRPr="00F546F9" w:rsidRDefault="00D370DC" w:rsidP="00F546F9">
            <w:pPr>
              <w:jc w:val="center"/>
              <w:rPr>
                <w:b/>
                <w:bCs/>
                <w:color w:val="FFFFFF"/>
                <w:lang w:eastAsia="en-GB"/>
              </w:rPr>
            </w:pPr>
            <w:r w:rsidRPr="00F546F9">
              <w:rPr>
                <w:b/>
                <w:bCs/>
                <w:color w:val="FFFFFF"/>
                <w:lang w:eastAsia="en-GB"/>
              </w:rPr>
              <w:t>Forecast Expenditure</w:t>
            </w:r>
          </w:p>
          <w:p w14:paraId="26A3E2C7" w14:textId="77777777" w:rsidR="00D370DC" w:rsidRPr="00F546F9" w:rsidRDefault="00D370DC" w:rsidP="00F546F9">
            <w:pPr>
              <w:jc w:val="center"/>
              <w:rPr>
                <w:b/>
                <w:bCs/>
                <w:color w:val="FFFFFF"/>
                <w:lang w:eastAsia="en-GB"/>
              </w:rPr>
            </w:pPr>
            <w:r w:rsidRPr="00F546F9">
              <w:rPr>
                <w:b/>
                <w:bCs/>
                <w:color w:val="FFFFFF"/>
                <w:lang w:eastAsia="en-GB"/>
              </w:rPr>
              <w:t>£m</w:t>
            </w:r>
          </w:p>
        </w:tc>
        <w:tc>
          <w:tcPr>
            <w:tcW w:w="1379" w:type="dxa"/>
            <w:shd w:val="clear" w:color="auto" w:fill="00483A"/>
          </w:tcPr>
          <w:p w14:paraId="783FB605" w14:textId="77777777" w:rsidR="00D370DC" w:rsidRPr="00F546F9" w:rsidRDefault="00D370DC" w:rsidP="00F546F9">
            <w:pPr>
              <w:jc w:val="center"/>
              <w:rPr>
                <w:b/>
                <w:bCs/>
                <w:color w:val="FFFFFF"/>
                <w:lang w:eastAsia="en-GB"/>
              </w:rPr>
            </w:pPr>
            <w:r w:rsidRPr="00F546F9">
              <w:rPr>
                <w:b/>
                <w:bCs/>
                <w:color w:val="FFFFFF"/>
                <w:lang w:eastAsia="en-GB"/>
              </w:rPr>
              <w:t>2024/25 Forecast Deficit</w:t>
            </w:r>
          </w:p>
          <w:p w14:paraId="3F36D3D4" w14:textId="77777777" w:rsidR="00D370DC" w:rsidRPr="00F546F9" w:rsidRDefault="00D370DC" w:rsidP="00F546F9">
            <w:pPr>
              <w:jc w:val="center"/>
              <w:rPr>
                <w:b/>
                <w:bCs/>
                <w:color w:val="FFFFFF"/>
                <w:lang w:eastAsia="en-GB"/>
              </w:rPr>
            </w:pPr>
            <w:r w:rsidRPr="00F546F9">
              <w:rPr>
                <w:b/>
                <w:bCs/>
                <w:color w:val="FFFFFF"/>
                <w:lang w:eastAsia="en-GB"/>
              </w:rPr>
              <w:t>£m</w:t>
            </w:r>
          </w:p>
        </w:tc>
      </w:tr>
      <w:tr w:rsidR="00D370DC" w:rsidRPr="00657B82" w14:paraId="6234D194" w14:textId="77777777" w:rsidTr="00F546F9">
        <w:trPr>
          <w:trHeight w:val="430"/>
        </w:trPr>
        <w:tc>
          <w:tcPr>
            <w:tcW w:w="4082" w:type="dxa"/>
            <w:shd w:val="clear" w:color="auto" w:fill="F2F2F2"/>
            <w:hideMark/>
          </w:tcPr>
          <w:p w14:paraId="23282E8B" w14:textId="77777777" w:rsidR="00D370DC" w:rsidRPr="00F546F9" w:rsidRDefault="00D370DC" w:rsidP="00F546F9">
            <w:pPr>
              <w:rPr>
                <w:b/>
                <w:bCs/>
                <w:color w:val="000000"/>
                <w:lang w:eastAsia="en-GB"/>
              </w:rPr>
            </w:pPr>
            <w:r w:rsidRPr="00F546F9">
              <w:rPr>
                <w:color w:val="000000"/>
                <w:lang w:eastAsia="en-GB"/>
              </w:rPr>
              <w:t>Schools block</w:t>
            </w:r>
          </w:p>
        </w:tc>
        <w:tc>
          <w:tcPr>
            <w:tcW w:w="1276" w:type="dxa"/>
            <w:shd w:val="clear" w:color="auto" w:fill="F2F2F2"/>
          </w:tcPr>
          <w:p w14:paraId="578E4803" w14:textId="77777777" w:rsidR="00D370DC" w:rsidRPr="00F546F9" w:rsidRDefault="00D370DC" w:rsidP="00F546F9">
            <w:pPr>
              <w:jc w:val="right"/>
              <w:rPr>
                <w:color w:val="000000"/>
                <w:lang w:eastAsia="en-GB"/>
              </w:rPr>
            </w:pPr>
            <w:r w:rsidRPr="00F546F9">
              <w:rPr>
                <w:color w:val="000000"/>
                <w:lang w:eastAsia="en-GB"/>
              </w:rPr>
              <w:t>476.7</w:t>
            </w:r>
          </w:p>
        </w:tc>
        <w:tc>
          <w:tcPr>
            <w:tcW w:w="1436" w:type="dxa"/>
            <w:shd w:val="clear" w:color="auto" w:fill="F2F2F2"/>
            <w:noWrap/>
          </w:tcPr>
          <w:p w14:paraId="086D79CE" w14:textId="77777777" w:rsidR="00D370DC" w:rsidRPr="00F546F9" w:rsidRDefault="00D370DC" w:rsidP="00F546F9">
            <w:pPr>
              <w:jc w:val="right"/>
              <w:rPr>
                <w:color w:val="000000"/>
                <w:lang w:eastAsia="en-GB"/>
              </w:rPr>
            </w:pPr>
            <w:r w:rsidRPr="00F546F9">
              <w:rPr>
                <w:color w:val="000000"/>
                <w:lang w:eastAsia="en-GB"/>
              </w:rPr>
              <w:t>509.2</w:t>
            </w:r>
          </w:p>
        </w:tc>
        <w:tc>
          <w:tcPr>
            <w:tcW w:w="1603" w:type="dxa"/>
            <w:shd w:val="clear" w:color="auto" w:fill="F2F2F2"/>
          </w:tcPr>
          <w:p w14:paraId="6AE677B9" w14:textId="77777777" w:rsidR="00D370DC" w:rsidRPr="00F546F9" w:rsidRDefault="00D370DC" w:rsidP="00F546F9">
            <w:pPr>
              <w:jc w:val="right"/>
              <w:rPr>
                <w:color w:val="000000"/>
                <w:lang w:eastAsia="en-GB"/>
              </w:rPr>
            </w:pPr>
            <w:r w:rsidRPr="00F546F9">
              <w:rPr>
                <w:color w:val="000000"/>
                <w:lang w:eastAsia="en-GB"/>
              </w:rPr>
              <w:t>509.2</w:t>
            </w:r>
          </w:p>
        </w:tc>
        <w:tc>
          <w:tcPr>
            <w:tcW w:w="1379" w:type="dxa"/>
            <w:shd w:val="clear" w:color="auto" w:fill="F2F2F2"/>
          </w:tcPr>
          <w:p w14:paraId="268BF4A3" w14:textId="77777777" w:rsidR="00D370DC" w:rsidRPr="00F546F9" w:rsidRDefault="00D370DC" w:rsidP="00F546F9">
            <w:pPr>
              <w:jc w:val="right"/>
              <w:rPr>
                <w:color w:val="000000"/>
                <w:lang w:eastAsia="en-GB"/>
              </w:rPr>
            </w:pPr>
          </w:p>
        </w:tc>
      </w:tr>
      <w:tr w:rsidR="00D370DC" w:rsidRPr="00657B82" w14:paraId="10B0281A" w14:textId="77777777" w:rsidTr="00F546F9">
        <w:trPr>
          <w:trHeight w:val="435"/>
        </w:trPr>
        <w:tc>
          <w:tcPr>
            <w:tcW w:w="4082" w:type="dxa"/>
            <w:shd w:val="clear" w:color="auto" w:fill="auto"/>
            <w:hideMark/>
          </w:tcPr>
          <w:p w14:paraId="1F58F5BB" w14:textId="77777777" w:rsidR="00D370DC" w:rsidRPr="00F546F9" w:rsidRDefault="00D370DC" w:rsidP="00F546F9">
            <w:pPr>
              <w:rPr>
                <w:b/>
                <w:bCs/>
                <w:color w:val="000000"/>
                <w:lang w:eastAsia="en-GB"/>
              </w:rPr>
            </w:pPr>
            <w:r w:rsidRPr="00F546F9">
              <w:rPr>
                <w:color w:val="000000"/>
                <w:lang w:eastAsia="en-GB"/>
              </w:rPr>
              <w:t>Central Services Schools block</w:t>
            </w:r>
          </w:p>
        </w:tc>
        <w:tc>
          <w:tcPr>
            <w:tcW w:w="1276" w:type="dxa"/>
            <w:shd w:val="clear" w:color="auto" w:fill="auto"/>
          </w:tcPr>
          <w:p w14:paraId="32D7CE0B" w14:textId="77777777" w:rsidR="00D370DC" w:rsidRPr="00F546F9" w:rsidRDefault="00D370DC" w:rsidP="00F546F9">
            <w:pPr>
              <w:jc w:val="right"/>
              <w:rPr>
                <w:color w:val="000000"/>
                <w:lang w:eastAsia="en-GB"/>
              </w:rPr>
            </w:pPr>
            <w:r w:rsidRPr="00F546F9">
              <w:rPr>
                <w:color w:val="000000"/>
                <w:lang w:eastAsia="en-GB"/>
              </w:rPr>
              <w:t>5.0</w:t>
            </w:r>
          </w:p>
        </w:tc>
        <w:tc>
          <w:tcPr>
            <w:tcW w:w="1436" w:type="dxa"/>
            <w:shd w:val="clear" w:color="auto" w:fill="auto"/>
            <w:noWrap/>
          </w:tcPr>
          <w:p w14:paraId="1C083DEF" w14:textId="77777777" w:rsidR="00D370DC" w:rsidRPr="00F546F9" w:rsidRDefault="00D370DC" w:rsidP="00F546F9">
            <w:pPr>
              <w:jc w:val="right"/>
              <w:rPr>
                <w:color w:val="000000"/>
                <w:lang w:eastAsia="en-GB"/>
              </w:rPr>
            </w:pPr>
            <w:r w:rsidRPr="00F546F9">
              <w:rPr>
                <w:color w:val="000000"/>
                <w:lang w:eastAsia="en-GB"/>
              </w:rPr>
              <w:t>5.2</w:t>
            </w:r>
          </w:p>
        </w:tc>
        <w:tc>
          <w:tcPr>
            <w:tcW w:w="1603" w:type="dxa"/>
            <w:shd w:val="clear" w:color="auto" w:fill="auto"/>
          </w:tcPr>
          <w:p w14:paraId="033CCDAC" w14:textId="77777777" w:rsidR="00D370DC" w:rsidRPr="00F546F9" w:rsidRDefault="00D370DC" w:rsidP="00F546F9">
            <w:pPr>
              <w:jc w:val="right"/>
              <w:rPr>
                <w:color w:val="000000"/>
                <w:lang w:eastAsia="en-GB"/>
              </w:rPr>
            </w:pPr>
            <w:r w:rsidRPr="00F546F9">
              <w:rPr>
                <w:color w:val="000000"/>
                <w:lang w:eastAsia="en-GB"/>
              </w:rPr>
              <w:t>5.2</w:t>
            </w:r>
          </w:p>
        </w:tc>
        <w:tc>
          <w:tcPr>
            <w:tcW w:w="1379" w:type="dxa"/>
            <w:shd w:val="clear" w:color="auto" w:fill="auto"/>
          </w:tcPr>
          <w:p w14:paraId="4EAAFCC6" w14:textId="77777777" w:rsidR="00D370DC" w:rsidRPr="00F546F9" w:rsidRDefault="00D370DC" w:rsidP="00F546F9">
            <w:pPr>
              <w:jc w:val="right"/>
              <w:rPr>
                <w:color w:val="000000"/>
                <w:lang w:eastAsia="en-GB"/>
              </w:rPr>
            </w:pPr>
          </w:p>
        </w:tc>
      </w:tr>
      <w:tr w:rsidR="00D370DC" w:rsidRPr="00657B82" w14:paraId="2B97BECA" w14:textId="77777777" w:rsidTr="00F546F9">
        <w:trPr>
          <w:trHeight w:val="450"/>
        </w:trPr>
        <w:tc>
          <w:tcPr>
            <w:tcW w:w="4082" w:type="dxa"/>
            <w:shd w:val="clear" w:color="auto" w:fill="F2F2F2"/>
            <w:hideMark/>
          </w:tcPr>
          <w:p w14:paraId="50FF34B4" w14:textId="77777777" w:rsidR="00D370DC" w:rsidRPr="00F546F9" w:rsidRDefault="00D370DC" w:rsidP="00F546F9">
            <w:pPr>
              <w:rPr>
                <w:b/>
                <w:bCs/>
                <w:color w:val="000000"/>
                <w:lang w:eastAsia="en-GB"/>
              </w:rPr>
            </w:pPr>
            <w:r w:rsidRPr="00F546F9">
              <w:rPr>
                <w:color w:val="000000"/>
                <w:lang w:eastAsia="en-GB"/>
              </w:rPr>
              <w:t>High Needs block</w:t>
            </w:r>
          </w:p>
        </w:tc>
        <w:tc>
          <w:tcPr>
            <w:tcW w:w="1276" w:type="dxa"/>
            <w:shd w:val="clear" w:color="auto" w:fill="F2F2F2"/>
          </w:tcPr>
          <w:p w14:paraId="6995AD43" w14:textId="77777777" w:rsidR="00D370DC" w:rsidRPr="00F546F9" w:rsidRDefault="00D370DC" w:rsidP="00F546F9">
            <w:pPr>
              <w:jc w:val="right"/>
              <w:rPr>
                <w:color w:val="000000"/>
                <w:lang w:eastAsia="en-GB"/>
              </w:rPr>
            </w:pPr>
            <w:r w:rsidRPr="00F546F9">
              <w:rPr>
                <w:color w:val="000000"/>
                <w:lang w:eastAsia="en-GB"/>
              </w:rPr>
              <w:t>102.9</w:t>
            </w:r>
          </w:p>
        </w:tc>
        <w:tc>
          <w:tcPr>
            <w:tcW w:w="1436" w:type="dxa"/>
            <w:shd w:val="clear" w:color="auto" w:fill="F2F2F2"/>
            <w:noWrap/>
          </w:tcPr>
          <w:p w14:paraId="2E24D54F" w14:textId="77777777" w:rsidR="00D370DC" w:rsidRPr="00F546F9" w:rsidRDefault="00D370DC" w:rsidP="00F546F9">
            <w:pPr>
              <w:jc w:val="right"/>
              <w:rPr>
                <w:color w:val="000000"/>
                <w:lang w:eastAsia="en-GB"/>
              </w:rPr>
            </w:pPr>
            <w:r w:rsidRPr="00F546F9">
              <w:rPr>
                <w:color w:val="000000"/>
                <w:lang w:eastAsia="en-GB"/>
              </w:rPr>
              <w:t>108.0</w:t>
            </w:r>
          </w:p>
        </w:tc>
        <w:tc>
          <w:tcPr>
            <w:tcW w:w="1603" w:type="dxa"/>
            <w:shd w:val="clear" w:color="auto" w:fill="F2F2F2"/>
          </w:tcPr>
          <w:p w14:paraId="5617F5BD" w14:textId="77777777" w:rsidR="00D370DC" w:rsidRPr="00F546F9" w:rsidRDefault="00D370DC" w:rsidP="00F546F9">
            <w:pPr>
              <w:jc w:val="right"/>
              <w:rPr>
                <w:color w:val="000000"/>
                <w:lang w:eastAsia="en-GB"/>
              </w:rPr>
            </w:pPr>
            <w:r w:rsidRPr="00F546F9">
              <w:rPr>
                <w:color w:val="000000"/>
                <w:lang w:eastAsia="en-GB"/>
              </w:rPr>
              <w:t>129.3</w:t>
            </w:r>
          </w:p>
        </w:tc>
        <w:tc>
          <w:tcPr>
            <w:tcW w:w="1379" w:type="dxa"/>
            <w:shd w:val="clear" w:color="auto" w:fill="F2F2F2"/>
          </w:tcPr>
          <w:p w14:paraId="703B3CC8" w14:textId="77777777" w:rsidR="00D370DC" w:rsidRPr="00F546F9" w:rsidRDefault="00D370DC" w:rsidP="00F546F9">
            <w:pPr>
              <w:jc w:val="right"/>
              <w:rPr>
                <w:color w:val="000000"/>
                <w:lang w:eastAsia="en-GB"/>
              </w:rPr>
            </w:pPr>
            <w:r w:rsidRPr="00F546F9">
              <w:rPr>
                <w:color w:val="000000"/>
                <w:lang w:eastAsia="en-GB"/>
              </w:rPr>
              <w:t>21.3</w:t>
            </w:r>
          </w:p>
        </w:tc>
      </w:tr>
      <w:tr w:rsidR="00D370DC" w:rsidRPr="00657B82" w14:paraId="79B85B6F" w14:textId="77777777" w:rsidTr="00F546F9">
        <w:trPr>
          <w:trHeight w:val="420"/>
        </w:trPr>
        <w:tc>
          <w:tcPr>
            <w:tcW w:w="4082" w:type="dxa"/>
            <w:shd w:val="clear" w:color="auto" w:fill="auto"/>
            <w:hideMark/>
          </w:tcPr>
          <w:p w14:paraId="777F2837" w14:textId="77777777" w:rsidR="00D370DC" w:rsidRPr="00F546F9" w:rsidRDefault="00D370DC" w:rsidP="00F546F9">
            <w:pPr>
              <w:rPr>
                <w:b/>
                <w:bCs/>
                <w:color w:val="000000"/>
                <w:lang w:eastAsia="en-GB"/>
              </w:rPr>
            </w:pPr>
            <w:r w:rsidRPr="00F546F9">
              <w:rPr>
                <w:color w:val="000000"/>
                <w:lang w:eastAsia="en-GB"/>
              </w:rPr>
              <w:t>Early Years block</w:t>
            </w:r>
          </w:p>
        </w:tc>
        <w:tc>
          <w:tcPr>
            <w:tcW w:w="1276" w:type="dxa"/>
            <w:shd w:val="clear" w:color="auto" w:fill="auto"/>
          </w:tcPr>
          <w:p w14:paraId="6436C834" w14:textId="77777777" w:rsidR="00D370DC" w:rsidRPr="00F546F9" w:rsidRDefault="00D370DC" w:rsidP="00F546F9">
            <w:pPr>
              <w:jc w:val="right"/>
              <w:rPr>
                <w:color w:val="000000"/>
                <w:lang w:eastAsia="en-GB"/>
              </w:rPr>
            </w:pPr>
            <w:r w:rsidRPr="00F546F9">
              <w:rPr>
                <w:color w:val="000000"/>
                <w:lang w:eastAsia="en-GB"/>
              </w:rPr>
              <w:t>44.3</w:t>
            </w:r>
          </w:p>
        </w:tc>
        <w:tc>
          <w:tcPr>
            <w:tcW w:w="1436" w:type="dxa"/>
            <w:shd w:val="clear" w:color="auto" w:fill="auto"/>
            <w:noWrap/>
          </w:tcPr>
          <w:p w14:paraId="24AB6768" w14:textId="77777777" w:rsidR="00D370DC" w:rsidRPr="00F546F9" w:rsidRDefault="00D370DC" w:rsidP="00F546F9">
            <w:pPr>
              <w:jc w:val="right"/>
              <w:rPr>
                <w:color w:val="000000"/>
                <w:lang w:eastAsia="en-GB"/>
              </w:rPr>
            </w:pPr>
            <w:r w:rsidRPr="00F546F9">
              <w:rPr>
                <w:color w:val="000000"/>
                <w:lang w:eastAsia="en-GB"/>
              </w:rPr>
              <w:t>73.2</w:t>
            </w:r>
          </w:p>
        </w:tc>
        <w:tc>
          <w:tcPr>
            <w:tcW w:w="1603" w:type="dxa"/>
            <w:shd w:val="clear" w:color="auto" w:fill="auto"/>
          </w:tcPr>
          <w:p w14:paraId="5EAAC590" w14:textId="77777777" w:rsidR="00D370DC" w:rsidRPr="00F546F9" w:rsidRDefault="00D370DC" w:rsidP="00F546F9">
            <w:pPr>
              <w:jc w:val="right"/>
              <w:rPr>
                <w:color w:val="000000"/>
                <w:lang w:eastAsia="en-GB"/>
              </w:rPr>
            </w:pPr>
            <w:r w:rsidRPr="00F546F9">
              <w:rPr>
                <w:color w:val="000000"/>
                <w:lang w:eastAsia="en-GB"/>
              </w:rPr>
              <w:t>73.2</w:t>
            </w:r>
          </w:p>
        </w:tc>
        <w:tc>
          <w:tcPr>
            <w:tcW w:w="1379" w:type="dxa"/>
            <w:shd w:val="clear" w:color="auto" w:fill="auto"/>
          </w:tcPr>
          <w:p w14:paraId="586A1BC6" w14:textId="77777777" w:rsidR="00D370DC" w:rsidRPr="00F546F9" w:rsidRDefault="00D370DC" w:rsidP="00F546F9">
            <w:pPr>
              <w:jc w:val="right"/>
              <w:rPr>
                <w:color w:val="000000"/>
                <w:lang w:eastAsia="en-GB"/>
              </w:rPr>
            </w:pPr>
          </w:p>
        </w:tc>
      </w:tr>
      <w:tr w:rsidR="00D370DC" w:rsidRPr="00657B82" w14:paraId="0773B841" w14:textId="77777777" w:rsidTr="00F546F9">
        <w:trPr>
          <w:trHeight w:val="315"/>
        </w:trPr>
        <w:tc>
          <w:tcPr>
            <w:tcW w:w="4082" w:type="dxa"/>
            <w:shd w:val="clear" w:color="auto" w:fill="00483A"/>
            <w:hideMark/>
          </w:tcPr>
          <w:p w14:paraId="3098AFBB" w14:textId="77777777" w:rsidR="00D370DC" w:rsidRPr="00F546F9" w:rsidRDefault="00D370DC" w:rsidP="00F546F9">
            <w:pPr>
              <w:rPr>
                <w:b/>
                <w:bCs/>
                <w:color w:val="FFFFFF"/>
                <w:lang w:eastAsia="en-GB"/>
              </w:rPr>
            </w:pPr>
            <w:r w:rsidRPr="00F546F9">
              <w:rPr>
                <w:b/>
                <w:bCs/>
                <w:color w:val="FFFFFF"/>
                <w:lang w:eastAsia="en-GB"/>
              </w:rPr>
              <w:t>Total</w:t>
            </w:r>
          </w:p>
        </w:tc>
        <w:tc>
          <w:tcPr>
            <w:tcW w:w="1276" w:type="dxa"/>
            <w:shd w:val="clear" w:color="auto" w:fill="00483A"/>
          </w:tcPr>
          <w:p w14:paraId="6C9A5CE4" w14:textId="77777777" w:rsidR="00D370DC" w:rsidRPr="00F546F9" w:rsidRDefault="00D370DC" w:rsidP="00F546F9">
            <w:pPr>
              <w:jc w:val="right"/>
              <w:rPr>
                <w:b/>
                <w:bCs/>
                <w:color w:val="FFFFFF"/>
                <w:lang w:eastAsia="en-GB"/>
              </w:rPr>
            </w:pPr>
            <w:r w:rsidRPr="00F546F9">
              <w:rPr>
                <w:b/>
                <w:bCs/>
                <w:color w:val="FFFFFF"/>
                <w:lang w:eastAsia="en-GB"/>
              </w:rPr>
              <w:t>628.9</w:t>
            </w:r>
          </w:p>
        </w:tc>
        <w:tc>
          <w:tcPr>
            <w:tcW w:w="1436" w:type="dxa"/>
            <w:shd w:val="clear" w:color="auto" w:fill="00483A"/>
            <w:noWrap/>
          </w:tcPr>
          <w:p w14:paraId="78EA8D5D" w14:textId="77777777" w:rsidR="00D370DC" w:rsidRPr="00F546F9" w:rsidRDefault="00D370DC" w:rsidP="00F546F9">
            <w:pPr>
              <w:jc w:val="right"/>
              <w:rPr>
                <w:b/>
                <w:bCs/>
                <w:color w:val="FFFFFF"/>
                <w:lang w:eastAsia="en-GB"/>
              </w:rPr>
            </w:pPr>
            <w:r w:rsidRPr="00F546F9">
              <w:rPr>
                <w:b/>
                <w:bCs/>
                <w:color w:val="FFFFFF"/>
                <w:lang w:eastAsia="en-GB"/>
              </w:rPr>
              <w:t>695.6</w:t>
            </w:r>
          </w:p>
        </w:tc>
        <w:tc>
          <w:tcPr>
            <w:tcW w:w="1603" w:type="dxa"/>
            <w:shd w:val="clear" w:color="auto" w:fill="00483A"/>
          </w:tcPr>
          <w:p w14:paraId="593E1069" w14:textId="77777777" w:rsidR="00D370DC" w:rsidRPr="00F546F9" w:rsidRDefault="00D370DC" w:rsidP="00F546F9">
            <w:pPr>
              <w:jc w:val="right"/>
              <w:rPr>
                <w:b/>
                <w:bCs/>
                <w:color w:val="FFFFFF"/>
                <w:lang w:eastAsia="en-GB"/>
              </w:rPr>
            </w:pPr>
            <w:r w:rsidRPr="00F546F9">
              <w:rPr>
                <w:b/>
                <w:bCs/>
                <w:color w:val="FFFFFF"/>
                <w:lang w:eastAsia="en-GB"/>
              </w:rPr>
              <w:t>716.9</w:t>
            </w:r>
          </w:p>
        </w:tc>
        <w:tc>
          <w:tcPr>
            <w:tcW w:w="1379" w:type="dxa"/>
            <w:shd w:val="clear" w:color="auto" w:fill="00483A"/>
          </w:tcPr>
          <w:p w14:paraId="3D086E14" w14:textId="77777777" w:rsidR="00D370DC" w:rsidRPr="00F546F9" w:rsidRDefault="00D370DC" w:rsidP="00F546F9">
            <w:pPr>
              <w:jc w:val="right"/>
              <w:rPr>
                <w:b/>
                <w:bCs/>
                <w:color w:val="FFFFFF"/>
                <w:lang w:eastAsia="en-GB"/>
              </w:rPr>
            </w:pPr>
            <w:r w:rsidRPr="00F546F9">
              <w:rPr>
                <w:b/>
                <w:bCs/>
                <w:color w:val="FFFFFF"/>
                <w:lang w:eastAsia="en-GB"/>
              </w:rPr>
              <w:t>21.3</w:t>
            </w:r>
          </w:p>
        </w:tc>
      </w:tr>
    </w:tbl>
    <w:p w14:paraId="7D7057EC" w14:textId="77777777" w:rsidR="00D370DC" w:rsidRPr="003D48AD" w:rsidRDefault="003D48AD" w:rsidP="003D48AD">
      <w:pPr>
        <w:pStyle w:val="ListParagraph"/>
        <w:ind w:left="709"/>
        <w:contextualSpacing w:val="0"/>
        <w:jc w:val="both"/>
        <w:rPr>
          <w:i/>
          <w:iCs/>
          <w:sz w:val="22"/>
          <w:szCs w:val="22"/>
        </w:rPr>
      </w:pPr>
      <w:r>
        <w:rPr>
          <w:b/>
          <w:bCs/>
          <w:sz w:val="22"/>
          <w:szCs w:val="22"/>
        </w:rPr>
        <w:t xml:space="preserve">Note: </w:t>
      </w:r>
      <w:r w:rsidR="00D370DC" w:rsidRPr="003D48AD">
        <w:rPr>
          <w:i/>
          <w:iCs/>
          <w:sz w:val="22"/>
          <w:szCs w:val="22"/>
        </w:rPr>
        <w:t>The mainstream schools additional grant (MSAG) introduced as additional funding for 2023/24 has been rolled into the National Funding Formula for 2024/25.</w:t>
      </w:r>
    </w:p>
    <w:p w14:paraId="59E9EF6B" w14:textId="77777777" w:rsidR="00D370DC" w:rsidRDefault="00D370DC" w:rsidP="00D370DC">
      <w:pPr>
        <w:autoSpaceDE w:val="0"/>
        <w:autoSpaceDN w:val="0"/>
        <w:adjustRightInd w:val="0"/>
        <w:rPr>
          <w:b/>
          <w:color w:val="000000"/>
          <w:highlight w:val="yellow"/>
        </w:rPr>
      </w:pPr>
    </w:p>
    <w:p w14:paraId="7E92D148" w14:textId="77777777" w:rsidR="003D48AD" w:rsidRDefault="003D48AD" w:rsidP="00D370DC">
      <w:pPr>
        <w:autoSpaceDE w:val="0"/>
        <w:autoSpaceDN w:val="0"/>
        <w:adjustRightInd w:val="0"/>
        <w:rPr>
          <w:b/>
          <w:color w:val="000000"/>
          <w:highlight w:val="yellow"/>
        </w:rPr>
      </w:pPr>
    </w:p>
    <w:p w14:paraId="6173A932" w14:textId="77777777" w:rsidR="003D48AD" w:rsidRDefault="003D48AD" w:rsidP="00D370DC">
      <w:pPr>
        <w:autoSpaceDE w:val="0"/>
        <w:autoSpaceDN w:val="0"/>
        <w:adjustRightInd w:val="0"/>
        <w:rPr>
          <w:b/>
          <w:color w:val="000000"/>
          <w:highlight w:val="yellow"/>
        </w:rPr>
      </w:pPr>
    </w:p>
    <w:p w14:paraId="2D2ECEB0" w14:textId="77777777" w:rsidR="006050CA" w:rsidRDefault="006050CA" w:rsidP="00D370DC">
      <w:pPr>
        <w:autoSpaceDE w:val="0"/>
        <w:autoSpaceDN w:val="0"/>
        <w:adjustRightInd w:val="0"/>
        <w:rPr>
          <w:b/>
          <w:color w:val="000000"/>
          <w:highlight w:val="yellow"/>
        </w:rPr>
        <w:sectPr w:rsidR="006050CA" w:rsidSect="00791BCB">
          <w:pgSz w:w="11907" w:h="16840" w:code="9"/>
          <w:pgMar w:top="993" w:right="708" w:bottom="1135" w:left="1276" w:header="275" w:footer="76" w:gutter="0"/>
          <w:cols w:space="708"/>
          <w:docGrid w:linePitch="360"/>
        </w:sectPr>
      </w:pPr>
    </w:p>
    <w:p w14:paraId="77BC0283" w14:textId="77777777" w:rsidR="003D48AD" w:rsidRPr="00657B82" w:rsidRDefault="003D48AD" w:rsidP="00D370DC">
      <w:pPr>
        <w:autoSpaceDE w:val="0"/>
        <w:autoSpaceDN w:val="0"/>
        <w:adjustRightInd w:val="0"/>
        <w:rPr>
          <w:b/>
          <w:color w:val="000000"/>
          <w:highlight w:val="yellow"/>
        </w:rPr>
      </w:pPr>
    </w:p>
    <w:p w14:paraId="02B94DDC" w14:textId="77777777" w:rsidR="00D370DC" w:rsidRPr="00657B82" w:rsidRDefault="00D370DC" w:rsidP="00D4693B">
      <w:pPr>
        <w:pStyle w:val="Heading1"/>
      </w:pPr>
      <w:r w:rsidRPr="00657B82">
        <w:t xml:space="preserve">High Needs </w:t>
      </w:r>
      <w:r w:rsidR="003D48AD">
        <w:t>Deficit</w:t>
      </w:r>
    </w:p>
    <w:p w14:paraId="19ECA48D" w14:textId="77777777" w:rsidR="00D370DC" w:rsidRDefault="00D370DC" w:rsidP="00D4693B">
      <w:pPr>
        <w:pStyle w:val="Heading2"/>
      </w:pPr>
      <w:r>
        <w:t>The</w:t>
      </w:r>
      <w:r w:rsidRPr="00657B82">
        <w:t xml:space="preserve"> Business Management &amp; Monitoring Repor</w:t>
      </w:r>
      <w:r>
        <w:t>ts</w:t>
      </w:r>
      <w:r w:rsidRPr="00657B82">
        <w:t xml:space="preserve"> to Cabinet in </w:t>
      </w:r>
      <w:r>
        <w:t>January and May</w:t>
      </w:r>
      <w:r w:rsidRPr="00657B82">
        <w:t xml:space="preserve"> 202</w:t>
      </w:r>
      <w:r>
        <w:t xml:space="preserve">3 set out that </w:t>
      </w:r>
      <w:r w:rsidRPr="00657B82">
        <w:t>spend on High Needs is expected to exceed the grant funding available in 202</w:t>
      </w:r>
      <w:r w:rsidR="003D48AD">
        <w:t>3</w:t>
      </w:r>
      <w:r w:rsidRPr="00657B82">
        <w:t>/2</w:t>
      </w:r>
      <w:r w:rsidR="003D48AD">
        <w:t>4</w:t>
      </w:r>
      <w:r w:rsidRPr="00657B82">
        <w:t xml:space="preserve"> by £</w:t>
      </w:r>
      <w:r>
        <w:t>18.3m</w:t>
      </w:r>
      <w:r w:rsidRPr="00657B82">
        <w:t xml:space="preserve"> and the annual deficit is expected to continue to increase over the medium term.</w:t>
      </w:r>
      <w:bookmarkStart w:id="2" w:name="_Hlk60999956"/>
      <w:r w:rsidRPr="00657B82">
        <w:t xml:space="preserve"> </w:t>
      </w:r>
      <w:r>
        <w:t xml:space="preserve">The forecast as at the end of November 2023 projects an increase in the 2023/24 deficit to £21.2m, an increase of £2.9m. This is due to accelerated </w:t>
      </w:r>
      <w:r w:rsidRPr="00657B82">
        <w:t>growth in the number of learners supported as well increased complexity of needs</w:t>
      </w:r>
      <w:r>
        <w:t xml:space="preserve">. It highlights that </w:t>
      </w:r>
      <w:r w:rsidRPr="00657B82">
        <w:t>government funding is not keeping pace with increased demand</w:t>
      </w:r>
      <w:r w:rsidR="001F681F">
        <w:t xml:space="preserve"> (refer Table 2)</w:t>
      </w:r>
      <w:r w:rsidRPr="00657B82">
        <w:t>.</w:t>
      </w:r>
    </w:p>
    <w:p w14:paraId="26716E79" w14:textId="77777777" w:rsidR="004C7C11" w:rsidRDefault="001F681F" w:rsidP="001F681F">
      <w:pPr>
        <w:ind w:left="1440"/>
        <w:rPr>
          <w:b/>
          <w:bCs/>
        </w:rPr>
      </w:pPr>
      <w:r>
        <w:rPr>
          <w:b/>
          <w:bCs/>
        </w:rPr>
        <w:t xml:space="preserve">  </w:t>
      </w:r>
      <w:r w:rsidR="004C7C11" w:rsidRPr="004C7C11">
        <w:rPr>
          <w:b/>
          <w:bCs/>
        </w:rPr>
        <w:t>Table 2 – High Needs Deficit Forecast2023/24: £21.2m</w:t>
      </w:r>
    </w:p>
    <w:p w14:paraId="68A7D9BE" w14:textId="22B0CB92" w:rsidR="001F681F" w:rsidRDefault="00932A2F" w:rsidP="004C7C11">
      <w:pPr>
        <w:ind w:left="709"/>
        <w:rPr>
          <w:b/>
          <w:bCs/>
        </w:rPr>
      </w:pPr>
      <w:r>
        <w:rPr>
          <w:noProof/>
        </w:rPr>
        <w:drawing>
          <wp:anchor distT="0" distB="0" distL="114300" distR="114300" simplePos="0" relativeHeight="251657216" behindDoc="0" locked="0" layoutInCell="1" allowOverlap="1" wp14:anchorId="73ADABA3" wp14:editId="6CE417D6">
            <wp:simplePos x="0" y="0"/>
            <wp:positionH relativeFrom="column">
              <wp:posOffset>975995</wp:posOffset>
            </wp:positionH>
            <wp:positionV relativeFrom="paragraph">
              <wp:posOffset>176530</wp:posOffset>
            </wp:positionV>
            <wp:extent cx="3891280" cy="2870835"/>
            <wp:effectExtent l="0" t="0" r="0" b="0"/>
            <wp:wrapTopAndBottom/>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287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93A4C" w14:textId="77777777" w:rsidR="001F681F" w:rsidRPr="004C7C11" w:rsidRDefault="001F681F" w:rsidP="004C7C11">
      <w:pPr>
        <w:ind w:left="709"/>
        <w:rPr>
          <w:b/>
          <w:bCs/>
        </w:rPr>
      </w:pPr>
    </w:p>
    <w:p w14:paraId="1C1E3B25" w14:textId="77777777" w:rsidR="00D370DC" w:rsidRDefault="00D370DC" w:rsidP="00D4693B">
      <w:pPr>
        <w:pStyle w:val="Heading2"/>
      </w:pPr>
      <w:r w:rsidRPr="000E7589">
        <w:t xml:space="preserve">The Council approved a Local Area </w:t>
      </w:r>
      <w:r w:rsidR="003D48AD">
        <w:t xml:space="preserve">High Needs / </w:t>
      </w:r>
      <w:r w:rsidRPr="000E7589">
        <w:t>S</w:t>
      </w:r>
      <w:r w:rsidR="003D48AD">
        <w:t>pecial Education Needs &amp; Disability (S</w:t>
      </w:r>
      <w:r w:rsidRPr="000E7589">
        <w:t>END</w:t>
      </w:r>
      <w:r w:rsidR="003D48AD">
        <w:t>)</w:t>
      </w:r>
      <w:r w:rsidRPr="000E7589">
        <w:t xml:space="preserve"> Deficit Management Strategy during 2022 to help frame the changes required, as well as </w:t>
      </w:r>
      <w:r w:rsidR="00293F82" w:rsidRPr="000E7589">
        <w:t>several</w:t>
      </w:r>
      <w:r w:rsidRPr="000E7589">
        <w:t xml:space="preserve"> approved System Reforms. Significant progress has taken place in the past six months in many areas including: </w:t>
      </w:r>
    </w:p>
    <w:p w14:paraId="4ECFC37F" w14:textId="77777777" w:rsidR="00D370DC" w:rsidRPr="00D370DC" w:rsidRDefault="003D48AD" w:rsidP="003D48AD">
      <w:pPr>
        <w:pStyle w:val="ListParagraph"/>
        <w:numPr>
          <w:ilvl w:val="1"/>
          <w:numId w:val="56"/>
        </w:numPr>
        <w:tabs>
          <w:tab w:val="clear" w:pos="2160"/>
        </w:tabs>
        <w:ind w:left="1418" w:hanging="567"/>
        <w:contextualSpacing w:val="0"/>
        <w:jc w:val="both"/>
        <w:rPr>
          <w:color w:val="000000"/>
        </w:rPr>
      </w:pPr>
      <w:r>
        <w:rPr>
          <w:color w:val="000000"/>
        </w:rPr>
        <w:t>A</w:t>
      </w:r>
      <w:r w:rsidR="00D370DC" w:rsidRPr="00D370DC">
        <w:rPr>
          <w:color w:val="000000"/>
        </w:rPr>
        <w:t>ctivity planning with system partners around the Local Area SEND Strategy.</w:t>
      </w:r>
    </w:p>
    <w:p w14:paraId="138BBCCD" w14:textId="77777777" w:rsidR="00D370DC" w:rsidRPr="00D370DC" w:rsidRDefault="003D48AD" w:rsidP="003D48AD">
      <w:pPr>
        <w:pStyle w:val="ListParagraph"/>
        <w:numPr>
          <w:ilvl w:val="1"/>
          <w:numId w:val="56"/>
        </w:numPr>
        <w:tabs>
          <w:tab w:val="clear" w:pos="2160"/>
        </w:tabs>
        <w:ind w:left="1418" w:hanging="567"/>
        <w:contextualSpacing w:val="0"/>
        <w:jc w:val="both"/>
        <w:rPr>
          <w:color w:val="000000"/>
        </w:rPr>
      </w:pPr>
      <w:r>
        <w:rPr>
          <w:color w:val="000000"/>
        </w:rPr>
        <w:t>C</w:t>
      </w:r>
      <w:r w:rsidR="00D370DC" w:rsidRPr="00D370DC">
        <w:rPr>
          <w:color w:val="000000"/>
        </w:rPr>
        <w:t>apital investment in new special schools to increase local capacity and release better value.</w:t>
      </w:r>
    </w:p>
    <w:p w14:paraId="72D6B9E5" w14:textId="77777777" w:rsidR="00D370DC" w:rsidRPr="00D370DC" w:rsidRDefault="003D48AD" w:rsidP="003D48AD">
      <w:pPr>
        <w:pStyle w:val="ListParagraph"/>
        <w:numPr>
          <w:ilvl w:val="1"/>
          <w:numId w:val="56"/>
        </w:numPr>
        <w:tabs>
          <w:tab w:val="clear" w:pos="2160"/>
        </w:tabs>
        <w:ind w:left="1418" w:hanging="567"/>
        <w:contextualSpacing w:val="0"/>
        <w:jc w:val="both"/>
        <w:rPr>
          <w:color w:val="000000"/>
        </w:rPr>
      </w:pPr>
      <w:r>
        <w:rPr>
          <w:color w:val="000000"/>
        </w:rPr>
        <w:t>E</w:t>
      </w:r>
      <w:r w:rsidR="00D370DC" w:rsidRPr="00D370DC">
        <w:rPr>
          <w:color w:val="000000"/>
        </w:rPr>
        <w:t>nhanced pathways in mainstream education for children with SEND - five programmes have taken place with positive outcomes driving forecast savings of £0.5m.</w:t>
      </w:r>
    </w:p>
    <w:p w14:paraId="32A67396" w14:textId="77777777" w:rsidR="00D370DC" w:rsidRPr="00D370DC" w:rsidRDefault="003D48AD" w:rsidP="003D48AD">
      <w:pPr>
        <w:pStyle w:val="ListParagraph"/>
        <w:numPr>
          <w:ilvl w:val="1"/>
          <w:numId w:val="56"/>
        </w:numPr>
        <w:tabs>
          <w:tab w:val="clear" w:pos="2160"/>
        </w:tabs>
        <w:ind w:left="1418" w:hanging="567"/>
        <w:contextualSpacing w:val="0"/>
        <w:jc w:val="both"/>
        <w:rPr>
          <w:color w:val="000000"/>
        </w:rPr>
      </w:pPr>
      <w:r>
        <w:rPr>
          <w:color w:val="000000"/>
        </w:rPr>
        <w:t>D</w:t>
      </w:r>
      <w:r w:rsidR="00D370DC" w:rsidRPr="00D370DC">
        <w:rPr>
          <w:color w:val="000000"/>
        </w:rPr>
        <w:t xml:space="preserve">evelopment of partnership working with Health (a new health funding protocol and special schools nursing contract are due to be finalised early 2023). </w:t>
      </w:r>
    </w:p>
    <w:p w14:paraId="36AD22D3" w14:textId="77777777" w:rsidR="00D370DC" w:rsidRPr="00D370DC" w:rsidRDefault="00BC2417" w:rsidP="003D48AD">
      <w:pPr>
        <w:pStyle w:val="ListParagraph"/>
        <w:numPr>
          <w:ilvl w:val="1"/>
          <w:numId w:val="56"/>
        </w:numPr>
        <w:tabs>
          <w:tab w:val="clear" w:pos="2160"/>
        </w:tabs>
        <w:ind w:left="1418" w:hanging="567"/>
        <w:contextualSpacing w:val="0"/>
        <w:jc w:val="both"/>
        <w:rPr>
          <w:color w:val="000000"/>
        </w:rPr>
      </w:pPr>
      <w:r>
        <w:rPr>
          <w:color w:val="000000"/>
        </w:rPr>
        <w:t>A</w:t>
      </w:r>
      <w:r w:rsidR="00D370DC" w:rsidRPr="00D370DC">
        <w:rPr>
          <w:color w:val="000000"/>
        </w:rPr>
        <w:t xml:space="preserve">s per the 2022 public SEND consultation regarding the transfer of resource bases to schools, positive engagement with schools is underway and full staff consultation will be held accordingly. </w:t>
      </w:r>
    </w:p>
    <w:p w14:paraId="2B1DD09F" w14:textId="77777777" w:rsidR="00D370DC" w:rsidRPr="00D370DC" w:rsidRDefault="00BC2417" w:rsidP="003D48AD">
      <w:pPr>
        <w:pStyle w:val="ListParagraph"/>
        <w:numPr>
          <w:ilvl w:val="1"/>
          <w:numId w:val="56"/>
        </w:numPr>
        <w:tabs>
          <w:tab w:val="clear" w:pos="2160"/>
        </w:tabs>
        <w:ind w:left="1418" w:hanging="567"/>
        <w:contextualSpacing w:val="0"/>
        <w:jc w:val="both"/>
        <w:rPr>
          <w:color w:val="000000"/>
        </w:rPr>
      </w:pPr>
      <w:r>
        <w:rPr>
          <w:color w:val="000000"/>
        </w:rPr>
        <w:t>O</w:t>
      </w:r>
      <w:r w:rsidR="00D370DC" w:rsidRPr="00D370DC">
        <w:rPr>
          <w:color w:val="000000"/>
        </w:rPr>
        <w:t>ngoing progress on the build of two special schools and proposals have been submitted to the DfE for two further schools.</w:t>
      </w:r>
    </w:p>
    <w:p w14:paraId="31D920AE" w14:textId="77777777" w:rsidR="00D370DC" w:rsidRPr="00D370DC" w:rsidRDefault="00BC2417" w:rsidP="003D48AD">
      <w:pPr>
        <w:pStyle w:val="ListParagraph"/>
        <w:numPr>
          <w:ilvl w:val="1"/>
          <w:numId w:val="56"/>
        </w:numPr>
        <w:tabs>
          <w:tab w:val="clear" w:pos="2160"/>
        </w:tabs>
        <w:ind w:left="1418" w:hanging="567"/>
        <w:contextualSpacing w:val="0"/>
        <w:jc w:val="both"/>
        <w:rPr>
          <w:color w:val="000000"/>
        </w:rPr>
      </w:pPr>
      <w:r>
        <w:rPr>
          <w:color w:val="000000"/>
        </w:rPr>
        <w:t>E</w:t>
      </w:r>
      <w:r w:rsidR="00D370DC" w:rsidRPr="00D370DC">
        <w:rPr>
          <w:color w:val="000000"/>
        </w:rPr>
        <w:t>ngagement with Oxfordshire colleges is ongoing to establish enhanced post-16 opportunities in Oxfordshire.</w:t>
      </w:r>
    </w:p>
    <w:bookmarkEnd w:id="2"/>
    <w:p w14:paraId="71C78089" w14:textId="77777777" w:rsidR="00D370DC" w:rsidRPr="00D370DC" w:rsidRDefault="00D370DC" w:rsidP="00D4693B">
      <w:pPr>
        <w:pStyle w:val="Heading2"/>
        <w:rPr>
          <w:color w:val="000000"/>
        </w:rPr>
      </w:pPr>
      <w:r w:rsidRPr="000E7589">
        <w:lastRenderedPageBreak/>
        <w:t xml:space="preserve">Oxfordshire has participated in the DfE’s Delivering Better Value (DBV) programme.  </w:t>
      </w:r>
      <w:r>
        <w:t>However, c</w:t>
      </w:r>
      <w:r w:rsidRPr="000E7589">
        <w:t>ontinued increases in demand mean that annual deficits against the</w:t>
      </w:r>
      <w:r w:rsidRPr="009A06B4">
        <w:t xml:space="preserve"> grant funding are still expected to grow in future years. </w:t>
      </w:r>
      <w:r w:rsidR="00BC2417">
        <w:t>Section 4</w:t>
      </w:r>
      <w:r w:rsidRPr="000E7589">
        <w:t xml:space="preserve"> sets out details of the SEND programme and the High Needs budget</w:t>
      </w:r>
      <w:r>
        <w:t>.</w:t>
      </w:r>
    </w:p>
    <w:p w14:paraId="0D9AF2FF" w14:textId="50F10E41" w:rsidR="00D370DC" w:rsidRDefault="009B6653" w:rsidP="00D4693B">
      <w:pPr>
        <w:pStyle w:val="Heading2"/>
      </w:pPr>
      <w:r>
        <w:t xml:space="preserve">Appendix </w:t>
      </w:r>
      <w:r w:rsidR="002107F6">
        <w:t>B</w:t>
      </w:r>
      <w:r w:rsidR="00D370DC">
        <w:t xml:space="preserve"> sets out </w:t>
      </w:r>
      <w:r w:rsidR="00D370DC" w:rsidRPr="003838EC">
        <w:t xml:space="preserve">budget </w:t>
      </w:r>
      <w:r>
        <w:t xml:space="preserve">forecast and </w:t>
      </w:r>
      <w:r w:rsidR="00D370DC" w:rsidRPr="003838EC">
        <w:t>changes for 202</w:t>
      </w:r>
      <w:r w:rsidR="002107F6">
        <w:t>4</w:t>
      </w:r>
      <w:r w:rsidR="00D370DC" w:rsidRPr="003838EC">
        <w:t>/2</w:t>
      </w:r>
      <w:r w:rsidR="002107F6">
        <w:t>5</w:t>
      </w:r>
      <w:r w:rsidR="00D370DC" w:rsidRPr="003838EC">
        <w:t xml:space="preserve"> to 2026/27</w:t>
      </w:r>
      <w:r w:rsidR="00D370DC">
        <w:t>.  These</w:t>
      </w:r>
      <w:r w:rsidR="00D370DC" w:rsidRPr="003838EC">
        <w:t xml:space="preserve"> reflect demographic growth and other pressures as well as funding increases and planned savings</w:t>
      </w:r>
      <w:r w:rsidR="00D370DC">
        <w:t xml:space="preserve">.  The changes and forecast deficits are summarised in Table 11 below. </w:t>
      </w:r>
    </w:p>
    <w:p w14:paraId="0C68D16B" w14:textId="77777777" w:rsidR="001F681F" w:rsidRDefault="001F681F" w:rsidP="001F681F">
      <w:pPr>
        <w:rPr>
          <w:rFonts w:eastAsia="Calibri"/>
        </w:rPr>
      </w:pPr>
    </w:p>
    <w:p w14:paraId="2C36B2DD" w14:textId="77777777" w:rsidR="00D370DC" w:rsidRPr="004C7C11" w:rsidRDefault="00D370DC" w:rsidP="00D4693B">
      <w:pPr>
        <w:pStyle w:val="Heading1"/>
      </w:pPr>
      <w:r w:rsidRPr="004C7C11">
        <w:t xml:space="preserve">SEND Programme &amp; High Needs Budget </w:t>
      </w:r>
    </w:p>
    <w:p w14:paraId="49789C94" w14:textId="77777777" w:rsidR="00D370DC" w:rsidRPr="004C7C11" w:rsidRDefault="004C7C11" w:rsidP="00D4693B">
      <w:pPr>
        <w:pStyle w:val="Heading2"/>
      </w:pPr>
      <w:r w:rsidRPr="004C7C11">
        <w:t>This section provides an update on:</w:t>
      </w:r>
    </w:p>
    <w:p w14:paraId="331BC0DE" w14:textId="77777777" w:rsidR="004C7C11" w:rsidRPr="004C7C11" w:rsidRDefault="004C7C11" w:rsidP="00D370DC">
      <w:pPr>
        <w:pStyle w:val="ListParagraph"/>
        <w:numPr>
          <w:ilvl w:val="1"/>
          <w:numId w:val="55"/>
        </w:numPr>
        <w:tabs>
          <w:tab w:val="clear" w:pos="1440"/>
        </w:tabs>
        <w:spacing w:after="120"/>
        <w:ind w:left="1134" w:hanging="414"/>
        <w:contextualSpacing w:val="0"/>
      </w:pPr>
      <w:r w:rsidRPr="004C7C11">
        <w:t xml:space="preserve">The deficit accumulated since 2020-21 together with the projected deficit over the next 4 years to 2026-27 </w:t>
      </w:r>
    </w:p>
    <w:p w14:paraId="4AC2DC17" w14:textId="77777777" w:rsidR="00D370DC" w:rsidRPr="004C7C11" w:rsidRDefault="00D370DC" w:rsidP="00D370DC">
      <w:pPr>
        <w:pStyle w:val="ListParagraph"/>
        <w:numPr>
          <w:ilvl w:val="1"/>
          <w:numId w:val="55"/>
        </w:numPr>
        <w:tabs>
          <w:tab w:val="clear" w:pos="1440"/>
        </w:tabs>
        <w:spacing w:after="120"/>
        <w:ind w:left="1134" w:hanging="414"/>
        <w:contextualSpacing w:val="0"/>
      </w:pPr>
      <w:r w:rsidRPr="004C7C11">
        <w:t xml:space="preserve">How work with the SEND Local Area Strategy and SEND System Reforms is impacting the High Needs Deficit Recovery plan </w:t>
      </w:r>
    </w:p>
    <w:p w14:paraId="30823739" w14:textId="77777777" w:rsidR="00D370DC" w:rsidRPr="004C7C11" w:rsidRDefault="00D370DC" w:rsidP="00D370DC">
      <w:pPr>
        <w:pStyle w:val="ListParagraph"/>
        <w:numPr>
          <w:ilvl w:val="1"/>
          <w:numId w:val="55"/>
        </w:numPr>
        <w:tabs>
          <w:tab w:val="clear" w:pos="1440"/>
        </w:tabs>
        <w:spacing w:after="120"/>
        <w:ind w:left="1134" w:hanging="414"/>
        <w:contextualSpacing w:val="0"/>
      </w:pPr>
      <w:r w:rsidRPr="004C7C11">
        <w:t xml:space="preserve">The progress of the Department for Education (DfE) Delivering Better Value (DBV) programme and the early findings from this work </w:t>
      </w:r>
    </w:p>
    <w:p w14:paraId="0E8D4985" w14:textId="77777777" w:rsidR="00D370DC" w:rsidRPr="004C7C11" w:rsidRDefault="00D370DC" w:rsidP="00D370DC">
      <w:pPr>
        <w:pStyle w:val="ListParagraph"/>
        <w:numPr>
          <w:ilvl w:val="1"/>
          <w:numId w:val="55"/>
        </w:numPr>
        <w:tabs>
          <w:tab w:val="clear" w:pos="1440"/>
        </w:tabs>
        <w:spacing w:after="120"/>
        <w:ind w:left="1134" w:hanging="414"/>
        <w:contextualSpacing w:val="0"/>
      </w:pPr>
      <w:r w:rsidRPr="004C7C11">
        <w:t>Explain the further investment being sought to support inclusion in mainstream settings - DBV grant, disapplication from Schools Block money and continued investment in top ups for mainstream and special schools - and the potential approaches to support this.</w:t>
      </w:r>
    </w:p>
    <w:p w14:paraId="5D4A358D" w14:textId="77777777" w:rsidR="001F681F" w:rsidRDefault="001F681F" w:rsidP="00D4693B">
      <w:pPr>
        <w:pStyle w:val="Heading2"/>
      </w:pPr>
      <w:r>
        <w:t xml:space="preserve">The SEND (High Needs) service came into this year with an accumulated deficit of £41.1m plus an in-year deficit forecast of a further £21.2m and a total projected deficit by 2026-27 of £144.2m (refer Table 3). </w:t>
      </w:r>
    </w:p>
    <w:p w14:paraId="02F551F2" w14:textId="7D6153DE" w:rsidR="001F681F" w:rsidRDefault="00932A2F" w:rsidP="001F681F">
      <w:r>
        <w:rPr>
          <w:noProof/>
        </w:rPr>
        <w:drawing>
          <wp:anchor distT="0" distB="0" distL="114300" distR="114300" simplePos="0" relativeHeight="251658240" behindDoc="0" locked="0" layoutInCell="1" allowOverlap="1" wp14:anchorId="689E8260" wp14:editId="05735CB0">
            <wp:simplePos x="0" y="0"/>
            <wp:positionH relativeFrom="column">
              <wp:posOffset>422910</wp:posOffset>
            </wp:positionH>
            <wp:positionV relativeFrom="paragraph">
              <wp:posOffset>160020</wp:posOffset>
            </wp:positionV>
            <wp:extent cx="5858510" cy="1020445"/>
            <wp:effectExtent l="0" t="0" r="0" b="0"/>
            <wp:wrapTopAndBottom/>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51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55DB9" w14:textId="77777777" w:rsidR="00D370DC" w:rsidRPr="004C7C11" w:rsidRDefault="00D370DC" w:rsidP="00D4693B">
      <w:pPr>
        <w:pStyle w:val="Heading2"/>
      </w:pPr>
      <w:r w:rsidRPr="004C7C11">
        <w:t xml:space="preserve">The outcomes for children and young people with SEND in Oxfordshire are not good enough. In addition, in the past five years, spending in Oxfordshire on children and young people with SEND has exceeded the available budget. </w:t>
      </w:r>
    </w:p>
    <w:p w14:paraId="1DF94D84" w14:textId="77777777" w:rsidR="00D370DC" w:rsidRPr="004C7C11" w:rsidRDefault="00D370DC" w:rsidP="00D4693B">
      <w:pPr>
        <w:pStyle w:val="Heading2"/>
      </w:pPr>
      <w:r w:rsidRPr="004C7C11">
        <w:t xml:space="preserve">SEND (High Needs) expenditure is forecast to exceed the grant funding available by £25.0m in 2024/25. The cumulative deficit by 31st March 2024 is forecast to be £62.3m. </w:t>
      </w:r>
    </w:p>
    <w:p w14:paraId="001F7A21" w14:textId="77777777" w:rsidR="00D370DC" w:rsidRDefault="00D370DC" w:rsidP="00D4693B">
      <w:pPr>
        <w:pStyle w:val="Heading2"/>
      </w:pPr>
      <w:r w:rsidRPr="004C7C11">
        <w:t xml:space="preserve">Thanks to the work which took place in 2022, there is now a clear and public-approved Local Area SEND Strategy to help frame the changes required, as well as </w:t>
      </w:r>
      <w:r w:rsidR="00293F82" w:rsidRPr="004C7C11">
        <w:t>several</w:t>
      </w:r>
      <w:r w:rsidRPr="004C7C11">
        <w:t xml:space="preserve"> approved System Reforms. </w:t>
      </w:r>
    </w:p>
    <w:p w14:paraId="529CE7CE" w14:textId="77777777" w:rsidR="006050CA" w:rsidRDefault="006050CA" w:rsidP="006050CA"/>
    <w:p w14:paraId="68759CEE" w14:textId="77777777" w:rsidR="006050CA" w:rsidRDefault="006050CA" w:rsidP="006050CA"/>
    <w:p w14:paraId="03124F8D" w14:textId="77777777" w:rsidR="006050CA" w:rsidRDefault="006050CA" w:rsidP="006050CA"/>
    <w:p w14:paraId="708275B7" w14:textId="77777777" w:rsidR="006050CA" w:rsidRDefault="006050CA" w:rsidP="006050CA"/>
    <w:p w14:paraId="57EACEBD" w14:textId="77777777" w:rsidR="006050CA" w:rsidRDefault="006050CA" w:rsidP="006050CA"/>
    <w:p w14:paraId="660A10BC" w14:textId="77777777" w:rsidR="006050CA" w:rsidRDefault="006050CA" w:rsidP="006050CA"/>
    <w:p w14:paraId="2B30E19A" w14:textId="77777777" w:rsidR="006050CA" w:rsidRPr="006050CA" w:rsidRDefault="006050CA" w:rsidP="006050CA"/>
    <w:p w14:paraId="0D4B9A9A" w14:textId="77777777" w:rsidR="00D370DC" w:rsidRPr="004C7C11" w:rsidRDefault="00D370DC" w:rsidP="00D4693B">
      <w:pPr>
        <w:pStyle w:val="Heading2"/>
      </w:pPr>
      <w:r w:rsidRPr="004C7C11">
        <w:t xml:space="preserve">Significant progress has taken place over the last year in many areas including: </w:t>
      </w:r>
    </w:p>
    <w:p w14:paraId="2876CEA1" w14:textId="4C80B33F" w:rsidR="00D370DC" w:rsidRPr="004C7C11" w:rsidRDefault="00D4693B" w:rsidP="00D4693B">
      <w:pPr>
        <w:pStyle w:val="ListParagraph"/>
        <w:numPr>
          <w:ilvl w:val="1"/>
          <w:numId w:val="55"/>
        </w:numPr>
        <w:tabs>
          <w:tab w:val="clear" w:pos="1440"/>
          <w:tab w:val="num" w:pos="993"/>
        </w:tabs>
        <w:spacing w:after="120"/>
        <w:ind w:left="993" w:hanging="273"/>
        <w:contextualSpacing w:val="0"/>
      </w:pPr>
      <w:r>
        <w:t>A</w:t>
      </w:r>
      <w:r w:rsidR="00D370DC" w:rsidRPr="004C7C11">
        <w:t xml:space="preserve">ctivity planning with system colleagues around the Local Area SEND Strategy </w:t>
      </w:r>
    </w:p>
    <w:p w14:paraId="70E1B14E" w14:textId="65655EBE" w:rsidR="00D370DC" w:rsidRPr="004C7C11" w:rsidRDefault="00D4693B" w:rsidP="00D4693B">
      <w:pPr>
        <w:pStyle w:val="ListParagraph"/>
        <w:numPr>
          <w:ilvl w:val="1"/>
          <w:numId w:val="55"/>
        </w:numPr>
        <w:tabs>
          <w:tab w:val="clear" w:pos="1440"/>
          <w:tab w:val="num" w:pos="993"/>
        </w:tabs>
        <w:spacing w:after="120"/>
        <w:ind w:left="993" w:hanging="273"/>
        <w:contextualSpacing w:val="0"/>
      </w:pPr>
      <w:r>
        <w:t>E</w:t>
      </w:r>
      <w:r w:rsidR="00D370DC" w:rsidRPr="004C7C11">
        <w:t xml:space="preserve">nhanced pathways in mainstream education for children with SEND - five programmes have taken place with great outcomes, including forecast savings of £0.45million </w:t>
      </w:r>
    </w:p>
    <w:p w14:paraId="1D5BEDBB" w14:textId="30B2B256" w:rsidR="00D370DC" w:rsidRPr="004C7C11" w:rsidRDefault="00D4693B" w:rsidP="00D4693B">
      <w:pPr>
        <w:pStyle w:val="ListParagraph"/>
        <w:numPr>
          <w:ilvl w:val="1"/>
          <w:numId w:val="55"/>
        </w:numPr>
        <w:tabs>
          <w:tab w:val="clear" w:pos="1440"/>
          <w:tab w:val="num" w:pos="993"/>
        </w:tabs>
        <w:spacing w:after="120"/>
        <w:ind w:left="993" w:hanging="273"/>
        <w:contextualSpacing w:val="0"/>
      </w:pPr>
      <w:r>
        <w:t>D</w:t>
      </w:r>
      <w:r w:rsidR="00D370DC" w:rsidRPr="004C7C11">
        <w:t xml:space="preserve">evelopment of partnership working with Health (health funding protocol and special schools nursing contract are in the process of being finalised). </w:t>
      </w:r>
    </w:p>
    <w:p w14:paraId="6ABBE417" w14:textId="3A834115" w:rsidR="00D370DC" w:rsidRPr="004C7C11" w:rsidRDefault="00D4693B" w:rsidP="00D4693B">
      <w:pPr>
        <w:pStyle w:val="ListParagraph"/>
        <w:numPr>
          <w:ilvl w:val="1"/>
          <w:numId w:val="55"/>
        </w:numPr>
        <w:tabs>
          <w:tab w:val="clear" w:pos="1440"/>
          <w:tab w:val="num" w:pos="993"/>
        </w:tabs>
        <w:spacing w:after="120"/>
        <w:ind w:left="993" w:hanging="273"/>
        <w:contextualSpacing w:val="0"/>
      </w:pPr>
      <w:r>
        <w:t>A</w:t>
      </w:r>
      <w:r w:rsidR="00D370DC" w:rsidRPr="004C7C11">
        <w:t>s per the 2022 public SEND consultation regarding the transfer of resource bases to schools, positive engagement with schools is underway and full staff consultation will be held accordingly.</w:t>
      </w:r>
    </w:p>
    <w:p w14:paraId="452A394C" w14:textId="244416C1" w:rsidR="00D370DC" w:rsidRPr="004C7C11" w:rsidRDefault="00D4693B" w:rsidP="00D4693B">
      <w:pPr>
        <w:pStyle w:val="ListParagraph"/>
        <w:numPr>
          <w:ilvl w:val="1"/>
          <w:numId w:val="55"/>
        </w:numPr>
        <w:tabs>
          <w:tab w:val="clear" w:pos="1440"/>
          <w:tab w:val="num" w:pos="993"/>
        </w:tabs>
        <w:spacing w:after="120"/>
        <w:ind w:left="993" w:hanging="273"/>
        <w:contextualSpacing w:val="0"/>
      </w:pPr>
      <w:r>
        <w:t>O</w:t>
      </w:r>
      <w:r w:rsidR="00D370DC" w:rsidRPr="004C7C11">
        <w:t xml:space="preserve">ngoing progress on the build of two special schools and free school funding proposals submitted to the DfE for two further schools. </w:t>
      </w:r>
    </w:p>
    <w:p w14:paraId="7FE4E482" w14:textId="51529BB6" w:rsidR="00D370DC" w:rsidRPr="004C7C11" w:rsidRDefault="00D4693B" w:rsidP="00D4693B">
      <w:pPr>
        <w:pStyle w:val="ListParagraph"/>
        <w:numPr>
          <w:ilvl w:val="1"/>
          <w:numId w:val="55"/>
        </w:numPr>
        <w:tabs>
          <w:tab w:val="clear" w:pos="1440"/>
          <w:tab w:val="num" w:pos="993"/>
        </w:tabs>
        <w:spacing w:after="120"/>
        <w:ind w:left="993" w:hanging="273"/>
        <w:contextualSpacing w:val="0"/>
      </w:pPr>
      <w:r>
        <w:t>E</w:t>
      </w:r>
      <w:r w:rsidR="00D370DC" w:rsidRPr="004C7C11">
        <w:t xml:space="preserve">ngagement with Oxfordshire colleges is ongoing to establish enhanced post-16 opportunities in Oxfordshire. </w:t>
      </w:r>
    </w:p>
    <w:p w14:paraId="0B1F4F82" w14:textId="77777777" w:rsidR="00D370DC" w:rsidRDefault="00D370DC" w:rsidP="00D4693B">
      <w:pPr>
        <w:pStyle w:val="Heading2"/>
      </w:pPr>
      <w:r w:rsidRPr="004C7C11">
        <w:t xml:space="preserve">In addition, there is ongoing insight and support via intensive engagement with the DfE DBV programme. The DBV programme has confirmed and provided evidence for areas of change already identified, as well as bringing to the surface several areas to explore further. </w:t>
      </w:r>
    </w:p>
    <w:p w14:paraId="4B39E081" w14:textId="77777777" w:rsidR="00D370DC" w:rsidRPr="004C7C11" w:rsidRDefault="00D370DC" w:rsidP="00D4693B">
      <w:pPr>
        <w:pStyle w:val="Heading2"/>
      </w:pPr>
      <w:r w:rsidRPr="004C7C11">
        <w:tab/>
        <w:t xml:space="preserve">National Policy </w:t>
      </w:r>
    </w:p>
    <w:p w14:paraId="06668A23" w14:textId="77777777" w:rsidR="00D370DC" w:rsidRPr="004C7C11" w:rsidRDefault="00293F82" w:rsidP="00D4693B">
      <w:pPr>
        <w:pStyle w:val="Heading3"/>
      </w:pPr>
      <w:r w:rsidRPr="004C7C11">
        <w:t>The</w:t>
      </w:r>
      <w:r w:rsidR="00D370DC" w:rsidRPr="004C7C11">
        <w:t xml:space="preserve"> government will use the outputs from the DBV programme to inform any future policy, which highlights the importance of our ongoing commitment to this programme. However, it is also becoming clear that changes in national policy will be incremental not revolutionary, and that no new funding will be provided in the short term. Therefore, there are very few available options and OCC will need to use available resources creatively to lever the greatest possible impact. </w:t>
      </w:r>
    </w:p>
    <w:p w14:paraId="26CE08F4" w14:textId="77777777" w:rsidR="00D370DC" w:rsidRPr="00EB3CDE" w:rsidRDefault="00D370DC" w:rsidP="00D4693B">
      <w:pPr>
        <w:pStyle w:val="Heading2"/>
      </w:pPr>
      <w:r w:rsidRPr="00EB3CDE">
        <w:t xml:space="preserve">Statistical Neighbour and National Benchmarking </w:t>
      </w:r>
    </w:p>
    <w:p w14:paraId="493A40DF" w14:textId="67B9D186" w:rsidR="00D370DC" w:rsidRPr="004C7C11" w:rsidRDefault="00D370DC" w:rsidP="00D4693B">
      <w:pPr>
        <w:pStyle w:val="Heading3"/>
      </w:pPr>
      <w:r w:rsidRPr="004C7C11">
        <w:t xml:space="preserve">Oxfordshire’s High Needs block allocation per 1,000 of the 2-18 population is </w:t>
      </w:r>
      <w:r w:rsidR="00B0428C" w:rsidRPr="004C7C11">
        <w:t>rising but</w:t>
      </w:r>
      <w:r w:rsidRPr="004C7C11">
        <w:t xml:space="preserve"> </w:t>
      </w:r>
      <w:r w:rsidR="00293F82" w:rsidRPr="004C7C11">
        <w:t>remains</w:t>
      </w:r>
      <w:r w:rsidRPr="004C7C11">
        <w:t xml:space="preserve"> below Local Authority average both nationally (England) and compared to statistical neighbours. </w:t>
      </w:r>
    </w:p>
    <w:p w14:paraId="5AD788BF" w14:textId="77777777" w:rsidR="00D370DC" w:rsidRPr="004C7C11" w:rsidRDefault="00D370DC" w:rsidP="00D4693B">
      <w:pPr>
        <w:pStyle w:val="Heading3"/>
      </w:pPr>
      <w:r w:rsidRPr="004C7C11">
        <w:t xml:space="preserve">The proportion of young people with Education, Health and Care (EHC) Plans has grown by over 40%% over the past 3 years, a similar rate of growth to statistical neighbours, but the overall rate is still below the national (England) average. </w:t>
      </w:r>
    </w:p>
    <w:p w14:paraId="19A5EA25" w14:textId="77777777" w:rsidR="00D370DC" w:rsidRPr="004C7C11" w:rsidRDefault="00D370DC" w:rsidP="00D4693B">
      <w:pPr>
        <w:pStyle w:val="Heading3"/>
      </w:pPr>
      <w:r w:rsidRPr="004C7C11">
        <w:t xml:space="preserve">In Oxfordshire the number of EHC Plans has risen from 2,027 in 2015/16 to a forecast 6,506 in this year, 2023/24. This is an increase of 221% so although central government has increased the allocation for SEN to Oxfordshire by 49% over the same period, this has fallen considerably short of the increased demand. </w:t>
      </w:r>
    </w:p>
    <w:p w14:paraId="0D14505B" w14:textId="77777777" w:rsidR="00D370DC" w:rsidRDefault="00D370DC" w:rsidP="00D4693B">
      <w:pPr>
        <w:pStyle w:val="Heading3"/>
      </w:pPr>
      <w:r w:rsidRPr="004C7C11">
        <w:t xml:space="preserve">Oxfordshire has a higher proportion of children with EHC Plans in a mainstream setting than the national Local Authority average and a higher proportion than most statistical neighbours. </w:t>
      </w:r>
    </w:p>
    <w:p w14:paraId="5F5B6E66" w14:textId="77777777" w:rsidR="006050CA" w:rsidRDefault="006050CA" w:rsidP="006050CA"/>
    <w:p w14:paraId="51A739DD" w14:textId="77777777" w:rsidR="006050CA" w:rsidRDefault="006050CA" w:rsidP="006050CA"/>
    <w:p w14:paraId="1763A1F6" w14:textId="77777777" w:rsidR="006050CA" w:rsidRDefault="006050CA" w:rsidP="006050CA"/>
    <w:p w14:paraId="64492991" w14:textId="77777777" w:rsidR="006050CA" w:rsidRPr="006050CA" w:rsidRDefault="006050CA" w:rsidP="006050CA"/>
    <w:p w14:paraId="65CC794A" w14:textId="77777777" w:rsidR="00D370DC" w:rsidRPr="00EB3CDE" w:rsidRDefault="00D370DC" w:rsidP="00D4693B">
      <w:pPr>
        <w:pStyle w:val="Heading2"/>
      </w:pPr>
      <w:r w:rsidRPr="00EB3CDE">
        <w:t xml:space="preserve">Forecast Deficit </w:t>
      </w:r>
    </w:p>
    <w:p w14:paraId="7055EF03" w14:textId="77777777" w:rsidR="00D370DC" w:rsidRPr="004C7C11" w:rsidRDefault="00D370DC" w:rsidP="00D4693B">
      <w:pPr>
        <w:pStyle w:val="Heading3"/>
      </w:pPr>
      <w:r w:rsidRPr="004C7C11">
        <w:t xml:space="preserve">The forecast deficit for SEND is set out in the table below. The High Needs Board has developed plans (including plans to increase special school places), to deliver the savings over a five-year period, but these are insufficient to remove the High Needs deficit. </w:t>
      </w:r>
    </w:p>
    <w:p w14:paraId="2BBF2BD8" w14:textId="77777777" w:rsidR="00D370DC" w:rsidRPr="004C7C11" w:rsidRDefault="00D370DC" w:rsidP="00D4693B">
      <w:pPr>
        <w:pStyle w:val="Heading3"/>
      </w:pPr>
      <w:r w:rsidRPr="004C7C11">
        <w:t xml:space="preserve">The forecast deficit is based on existing savings plans. The DBV exercise has confirmed the spend trajectory for Oxfordshire is in line with the existing forecast. The next stage of DBV DMP is to complete a redrafting and reprofiling of the plan to be progressed and delivered over a </w:t>
      </w:r>
      <w:r w:rsidR="00293F82" w:rsidRPr="004C7C11">
        <w:t>two-to-three-year</w:t>
      </w:r>
      <w:r w:rsidRPr="004C7C11">
        <w:t xml:space="preserve"> timeframe. This exercise may change the focus of savings activities. </w:t>
      </w:r>
    </w:p>
    <w:p w14:paraId="6001CAB8" w14:textId="77777777" w:rsidR="00D370DC" w:rsidRPr="00EB3CDE" w:rsidRDefault="00D370DC" w:rsidP="00D4693B">
      <w:pPr>
        <w:pStyle w:val="Heading2"/>
      </w:pPr>
      <w:r w:rsidRPr="00EB3CDE">
        <w:t xml:space="preserve">DfE Support &amp; Advice </w:t>
      </w:r>
    </w:p>
    <w:p w14:paraId="3FCAD919" w14:textId="77777777" w:rsidR="00D370DC" w:rsidRPr="004C7C11" w:rsidRDefault="00D370DC" w:rsidP="00D4693B">
      <w:pPr>
        <w:pStyle w:val="Heading3"/>
      </w:pPr>
      <w:r w:rsidRPr="004C7C11">
        <w:t xml:space="preserve">The DfE have a SEND support programme that consists of Safety Valve Agreements for those local authorities with the highest deficits and DBV programme for the remaining deficit authorities. A Safety Valve arrangement attracts funding from the DfE to help deal with the SEND cumulative deficit. Oxfordshire does not qualify for the DfE Safety Valve scheme. The DfE have recently published details of the latest Safety Valve agreements that give an insight into thinking consistent with the Green Paper. </w:t>
      </w:r>
    </w:p>
    <w:p w14:paraId="63F76F45" w14:textId="77777777" w:rsidR="00D370DC" w:rsidRPr="004C7C11" w:rsidRDefault="00D370DC" w:rsidP="00D4693B">
      <w:pPr>
        <w:pStyle w:val="Heading3"/>
      </w:pPr>
      <w:r w:rsidRPr="004C7C11">
        <w:t xml:space="preserve">Oxfordshire was successful in lobbying to be included as part of Tranche 1 of the DBV Programme and qualify for the Safety Valve arrangements. This was based on the trajectory of the High Needs deficit. </w:t>
      </w:r>
    </w:p>
    <w:p w14:paraId="26748615" w14:textId="77777777" w:rsidR="00D370DC" w:rsidRPr="004C7C11" w:rsidRDefault="00D370DC" w:rsidP="00D4693B">
      <w:pPr>
        <w:pStyle w:val="Heading3"/>
      </w:pPr>
      <w:r w:rsidRPr="004C7C11">
        <w:t xml:space="preserve">Engagement with the DfE contracted consultants Newton Europe and more recently, CIPFA have led to a requirement to revise the Deficit Management Plan (DMP) and re-profile the programme spend and target mitigations / cost reduction savings over 2/3 years. </w:t>
      </w:r>
    </w:p>
    <w:p w14:paraId="5F488933" w14:textId="77777777" w:rsidR="00D370DC" w:rsidRDefault="00D370DC" w:rsidP="00D4693B">
      <w:pPr>
        <w:pStyle w:val="Heading3"/>
      </w:pPr>
      <w:r w:rsidRPr="004C7C11">
        <w:t xml:space="preserve">The savings that form the High Needs Deficit Recovery plan are summarised in the annex. The key contribution to deficit recovery is the expansion of Special School places and the impact that Early Intervention and Inclusion Hubs may have. Early Intervention proposals and the potential impact of Inclusion Hubs and other approaches form part of the bid for DBV grant. </w:t>
      </w:r>
    </w:p>
    <w:p w14:paraId="7B66D6CB" w14:textId="77777777" w:rsidR="00D4693B" w:rsidRDefault="00D4693B" w:rsidP="00D4693B">
      <w:pPr>
        <w:sectPr w:rsidR="00D4693B" w:rsidSect="00D4693B">
          <w:pgSz w:w="11907" w:h="16840" w:code="9"/>
          <w:pgMar w:top="993" w:right="1417" w:bottom="1135" w:left="1276" w:header="275" w:footer="76" w:gutter="0"/>
          <w:cols w:space="708"/>
          <w:docGrid w:linePitch="360"/>
        </w:sectPr>
      </w:pPr>
    </w:p>
    <w:p w14:paraId="18471E6C" w14:textId="77777777" w:rsidR="00D4693B" w:rsidRPr="00D4693B" w:rsidRDefault="00D4693B" w:rsidP="00D4693B"/>
    <w:p w14:paraId="7CC464DB" w14:textId="77777777" w:rsidR="00D370DC" w:rsidRPr="00EB3CDE" w:rsidRDefault="00D370DC" w:rsidP="00D4693B">
      <w:pPr>
        <w:pStyle w:val="Heading2"/>
      </w:pPr>
      <w:r w:rsidRPr="00EB3CDE">
        <w:t xml:space="preserve">How Local Area SEND Strategy and System Reforms are Impacting the Deficit Reduction Plan </w:t>
      </w:r>
    </w:p>
    <w:p w14:paraId="155E2504" w14:textId="77777777" w:rsidR="00D370DC" w:rsidRPr="004C7C11" w:rsidRDefault="00D370DC" w:rsidP="00D4693B">
      <w:pPr>
        <w:pStyle w:val="Heading3"/>
      </w:pPr>
      <w:r w:rsidRPr="004C7C11">
        <w:t xml:space="preserve">Build New Special Schools &amp; expand places where </w:t>
      </w:r>
      <w:r w:rsidR="00293F82" w:rsidRPr="004C7C11">
        <w:t>possible.</w:t>
      </w:r>
      <w:r w:rsidRPr="004C7C11">
        <w:t xml:space="preserve"> </w:t>
      </w:r>
    </w:p>
    <w:p w14:paraId="57BEBCE1" w14:textId="77777777" w:rsidR="00D370DC" w:rsidRPr="004C7C11" w:rsidRDefault="00D370DC" w:rsidP="00EB3CDE">
      <w:pPr>
        <w:spacing w:after="120"/>
        <w:ind w:left="1440"/>
        <w:rPr>
          <w:rFonts w:ascii="Arial" w:hAnsi="Arial" w:cs="Arial"/>
        </w:rPr>
      </w:pPr>
      <w:r w:rsidRPr="004C7C11">
        <w:rPr>
          <w:rFonts w:ascii="Arial" w:hAnsi="Arial" w:cs="Arial"/>
        </w:rPr>
        <w:t xml:space="preserve">Expansions continue. Two new builds in progress and two in planning. Based on current data, it has been established that up to 700 new special school places will be required (ages 4-19) by 2026. This assumption will continue to be tested in conjunction with the data analysis taking place in the DBV Programme. A plan is being developed, which includes new schools at Bloxham Grove and Faringdon, progressing with the new school in Didcot through a bid to the DfE for a Free School, and continuing with a rolling programme of expansions where feasible. Property Services are engaged in a site search suitable for a further new school to support pupils with SEMH (social, emotional and mental health) needs in the southeast of Oxfordshire, also to be the subject of a Free School bid, and if the need is confirmed by data analysis, potentially two further new schools. This project will require considerable investment, £19m has been allocated from the High Needs DfE capital grant over the next three years. Two Free School bids have been made in latest round and the outcome is expected in January 2023. </w:t>
      </w:r>
    </w:p>
    <w:p w14:paraId="4B60E6F1" w14:textId="77777777" w:rsidR="00D370DC" w:rsidRPr="004C7C11" w:rsidRDefault="00D370DC" w:rsidP="00D4693B">
      <w:pPr>
        <w:pStyle w:val="Heading3"/>
      </w:pPr>
      <w:r w:rsidRPr="004C7C11">
        <w:t xml:space="preserve">Enhanced pathways </w:t>
      </w:r>
    </w:p>
    <w:p w14:paraId="5F889845" w14:textId="77777777" w:rsidR="00D370DC" w:rsidRPr="004C7C11" w:rsidRDefault="00D370DC" w:rsidP="00EB3CDE">
      <w:pPr>
        <w:spacing w:after="120"/>
        <w:ind w:left="1440"/>
        <w:rPr>
          <w:rFonts w:ascii="Arial" w:hAnsi="Arial" w:cs="Arial"/>
        </w:rPr>
      </w:pPr>
      <w:r w:rsidRPr="004C7C11">
        <w:rPr>
          <w:rFonts w:ascii="Arial" w:hAnsi="Arial" w:cs="Arial"/>
        </w:rPr>
        <w:t xml:space="preserve">Five programmes have taken place with significant impact, including forecast savings of £0.45m. </w:t>
      </w:r>
    </w:p>
    <w:p w14:paraId="16467E6A" w14:textId="77777777" w:rsidR="00D370DC" w:rsidRPr="004C7C11" w:rsidRDefault="00D370DC" w:rsidP="00EB3CDE">
      <w:pPr>
        <w:spacing w:after="120"/>
        <w:ind w:left="1440"/>
        <w:rPr>
          <w:rFonts w:ascii="Arial" w:hAnsi="Arial" w:cs="Arial"/>
        </w:rPr>
      </w:pPr>
      <w:r w:rsidRPr="004C7C11">
        <w:rPr>
          <w:rFonts w:ascii="Arial" w:hAnsi="Arial" w:cs="Arial"/>
        </w:rPr>
        <w:t xml:space="preserve">Further funding would be targeted at the creation of In-reach/Out-reach Inclusion Hubs, which from initial modelling have the potential to support more children locally, meeting needs at an earlier stage and avoiding the escalation to specialist provision. Business case based on case reviews suggests that some young people could be prevented from escalating to more expensive placements. Early modelling suggests a saving up to £5.6m over 5 years but this estimate will be reassessed as part of the DBV analysis. </w:t>
      </w:r>
    </w:p>
    <w:p w14:paraId="296C58D7" w14:textId="77777777" w:rsidR="00D370DC" w:rsidRDefault="00D370DC" w:rsidP="00EB3CDE">
      <w:pPr>
        <w:spacing w:after="120"/>
        <w:ind w:left="1440"/>
        <w:rPr>
          <w:rFonts w:ascii="Arial" w:hAnsi="Arial" w:cs="Arial"/>
        </w:rPr>
      </w:pPr>
      <w:r w:rsidRPr="004C7C11">
        <w:rPr>
          <w:rFonts w:ascii="Arial" w:hAnsi="Arial" w:cs="Arial"/>
        </w:rPr>
        <w:t xml:space="preserve">Ongoing investment for this project is subject to the success of the bid for DBV grant and the Dedicated Schools Grant (DSG) block transfer application to the Secretary of State </w:t>
      </w:r>
    </w:p>
    <w:p w14:paraId="3C98E9A7" w14:textId="77777777" w:rsidR="00D370DC" w:rsidRPr="004C7C11" w:rsidRDefault="00D370DC" w:rsidP="00D4693B">
      <w:pPr>
        <w:pStyle w:val="Heading3"/>
      </w:pPr>
      <w:r w:rsidRPr="004C7C11">
        <w:t xml:space="preserve">Early Intervention </w:t>
      </w:r>
    </w:p>
    <w:p w14:paraId="51487253" w14:textId="77777777" w:rsidR="00D370DC" w:rsidRDefault="00D370DC" w:rsidP="00EB3CDE">
      <w:pPr>
        <w:spacing w:after="120"/>
        <w:ind w:left="1440"/>
        <w:rPr>
          <w:rFonts w:ascii="Arial" w:hAnsi="Arial" w:cs="Arial"/>
        </w:rPr>
      </w:pPr>
      <w:r w:rsidRPr="004C7C11">
        <w:rPr>
          <w:rFonts w:ascii="Arial" w:hAnsi="Arial" w:cs="Arial"/>
        </w:rPr>
        <w:t xml:space="preserve">Further work would focus on building confidence in schools for working with CYP with SEND. Modelling of the financial impact will be completed as part of DBV programme. Activities may include expanding the reach of SEND Helpdesk, further training and support to school to implement the Ordinarily Available Toolkit and Inclusion Support. All initiatives are aimed at supporting schools to deliver a robust graduated approach, meeting the needs of children and young people with SEND at the earliest opportunity. </w:t>
      </w:r>
    </w:p>
    <w:p w14:paraId="6356BF01" w14:textId="77777777" w:rsidR="00D370DC" w:rsidRPr="004C7C11" w:rsidRDefault="00D370DC" w:rsidP="00D4693B">
      <w:pPr>
        <w:pStyle w:val="Heading3"/>
      </w:pPr>
      <w:r w:rsidRPr="004C7C11">
        <w:t xml:space="preserve">Resource Bases </w:t>
      </w:r>
    </w:p>
    <w:p w14:paraId="11EA75F0" w14:textId="77777777" w:rsidR="00D370DC" w:rsidRPr="004C7C11" w:rsidRDefault="00D370DC" w:rsidP="00EB3CDE">
      <w:pPr>
        <w:spacing w:after="120"/>
        <w:ind w:left="1440"/>
        <w:rPr>
          <w:rFonts w:ascii="Arial" w:hAnsi="Arial" w:cs="Arial"/>
        </w:rPr>
      </w:pPr>
      <w:r w:rsidRPr="004C7C11">
        <w:rPr>
          <w:rFonts w:ascii="Arial" w:hAnsi="Arial" w:cs="Arial"/>
        </w:rPr>
        <w:t xml:space="preserve">Following on from the Local Area SEND Strategy and system reforms consultation, regarding the transfer of resource bases to schools, positive engagement with schools is underway and full staff consultation will be held accordingly. </w:t>
      </w:r>
    </w:p>
    <w:p w14:paraId="6ABB333B" w14:textId="77777777" w:rsidR="00D370DC" w:rsidRPr="004C7C11" w:rsidRDefault="00D370DC" w:rsidP="00D4693B">
      <w:pPr>
        <w:pStyle w:val="Heading3"/>
      </w:pPr>
      <w:r w:rsidRPr="004C7C11">
        <w:lastRenderedPageBreak/>
        <w:t xml:space="preserve">Specialist Colleges </w:t>
      </w:r>
    </w:p>
    <w:p w14:paraId="2AA93D5F" w14:textId="77777777" w:rsidR="00D370DC" w:rsidRPr="004C7C11" w:rsidRDefault="00D370DC" w:rsidP="00EB3CDE">
      <w:pPr>
        <w:spacing w:after="120"/>
        <w:ind w:left="1440"/>
        <w:rPr>
          <w:rFonts w:ascii="Arial" w:hAnsi="Arial" w:cs="Arial"/>
        </w:rPr>
      </w:pPr>
      <w:r w:rsidRPr="004C7C11">
        <w:rPr>
          <w:rFonts w:ascii="Arial" w:hAnsi="Arial" w:cs="Arial"/>
        </w:rPr>
        <w:t xml:space="preserve">To create a right sized model through reviewing the current Independent Specialist Provider and re-establishing the pre-annual review process. Key activities have been determined, with a plan in progress. Meetings have commenced with colleges to ascertain courses on offer. These savings may come earlier as reviews taking </w:t>
      </w:r>
      <w:r w:rsidR="00293F82" w:rsidRPr="004C7C11">
        <w:rPr>
          <w:rFonts w:ascii="Arial" w:hAnsi="Arial" w:cs="Arial"/>
        </w:rPr>
        <w:t>place.</w:t>
      </w:r>
      <w:r w:rsidRPr="004C7C11">
        <w:rPr>
          <w:rFonts w:ascii="Arial" w:hAnsi="Arial" w:cs="Arial"/>
        </w:rPr>
        <w:t xml:space="preserve"> </w:t>
      </w:r>
    </w:p>
    <w:p w14:paraId="39A41E4F" w14:textId="77777777" w:rsidR="00D370DC" w:rsidRPr="004C7C11" w:rsidRDefault="00D370DC" w:rsidP="00D4693B">
      <w:pPr>
        <w:pStyle w:val="Heading3"/>
      </w:pPr>
      <w:r w:rsidRPr="004C7C11">
        <w:t xml:space="preserve">Preparing for Adulthood </w:t>
      </w:r>
    </w:p>
    <w:p w14:paraId="682B8A66" w14:textId="77777777" w:rsidR="00D370DC" w:rsidRDefault="00D370DC" w:rsidP="00EB3CDE">
      <w:pPr>
        <w:spacing w:after="120"/>
        <w:ind w:left="1440"/>
        <w:rPr>
          <w:rFonts w:ascii="Arial" w:hAnsi="Arial" w:cs="Arial"/>
        </w:rPr>
      </w:pPr>
      <w:r w:rsidRPr="004C7C11">
        <w:rPr>
          <w:rFonts w:ascii="Arial" w:hAnsi="Arial" w:cs="Arial"/>
        </w:rPr>
        <w:t xml:space="preserve">Long term project to develop alternative education and support services in County. </w:t>
      </w:r>
    </w:p>
    <w:p w14:paraId="2FDAB472" w14:textId="77777777" w:rsidR="00D370DC" w:rsidRPr="004C7C11" w:rsidRDefault="00D370DC" w:rsidP="00D4693B">
      <w:pPr>
        <w:pStyle w:val="Heading3"/>
      </w:pPr>
      <w:r w:rsidRPr="004C7C11">
        <w:t xml:space="preserve">Contract Renegotiation </w:t>
      </w:r>
    </w:p>
    <w:p w14:paraId="74493DE5" w14:textId="77777777" w:rsidR="00D370DC" w:rsidRPr="004C7C11" w:rsidRDefault="00D370DC" w:rsidP="00EB3CDE">
      <w:pPr>
        <w:spacing w:after="120"/>
        <w:ind w:left="1440"/>
        <w:rPr>
          <w:rFonts w:ascii="Arial" w:hAnsi="Arial" w:cs="Arial"/>
        </w:rPr>
      </w:pPr>
      <w:r w:rsidRPr="004C7C11">
        <w:rPr>
          <w:rFonts w:ascii="Arial" w:hAnsi="Arial" w:cs="Arial"/>
        </w:rPr>
        <w:t xml:space="preserve">To date a rationalisation in line with demand for Alternative Provision places / top up has resulted in £0.4m savings, with a £0.2m impact on financial year 2022/23. This has exceeded the £0.3m target. </w:t>
      </w:r>
    </w:p>
    <w:p w14:paraId="38D87B25" w14:textId="77777777" w:rsidR="00D370DC" w:rsidRPr="004C7C11" w:rsidRDefault="00D370DC" w:rsidP="00EB3CDE">
      <w:pPr>
        <w:spacing w:after="120"/>
        <w:ind w:left="1440"/>
        <w:rPr>
          <w:rFonts w:ascii="Arial" w:hAnsi="Arial" w:cs="Arial"/>
        </w:rPr>
      </w:pPr>
      <w:r w:rsidRPr="004C7C11">
        <w:rPr>
          <w:rFonts w:ascii="Arial" w:hAnsi="Arial" w:cs="Arial"/>
        </w:rPr>
        <w:t xml:space="preserve">A revised paper on Alternative Provision will be taken to Schools Forum in the next quarter and a high-level plan will be drafted. A category management spend review will be undertaken to analyse the service, reduce spend, develop </w:t>
      </w:r>
      <w:r w:rsidR="00293F82" w:rsidRPr="004C7C11">
        <w:rPr>
          <w:rFonts w:ascii="Arial" w:hAnsi="Arial" w:cs="Arial"/>
        </w:rPr>
        <w:t>alternatives,</w:t>
      </w:r>
      <w:r w:rsidRPr="004C7C11">
        <w:rPr>
          <w:rFonts w:ascii="Arial" w:hAnsi="Arial" w:cs="Arial"/>
        </w:rPr>
        <w:t xml:space="preserve"> and review packages to see whether some children could return to mainstream education. </w:t>
      </w:r>
    </w:p>
    <w:p w14:paraId="63F90525" w14:textId="77777777" w:rsidR="00D370DC" w:rsidRPr="004C7C11" w:rsidRDefault="00D370DC" w:rsidP="00EB3CDE">
      <w:pPr>
        <w:spacing w:after="120"/>
        <w:ind w:left="1440"/>
        <w:rPr>
          <w:rFonts w:ascii="Arial" w:hAnsi="Arial" w:cs="Arial"/>
        </w:rPr>
      </w:pPr>
      <w:r w:rsidRPr="004C7C11">
        <w:rPr>
          <w:rFonts w:ascii="Arial" w:hAnsi="Arial" w:cs="Arial"/>
        </w:rPr>
        <w:t xml:space="preserve">Independent Non-Maintained Specialist Schools (INMSS) contracts: Oversight of procurement/contracts for INMSS providers is required by contract management specialists </w:t>
      </w:r>
      <w:r w:rsidR="00293F82" w:rsidRPr="004C7C11">
        <w:rPr>
          <w:rFonts w:ascii="Arial" w:hAnsi="Arial" w:cs="Arial"/>
        </w:rPr>
        <w:t>to</w:t>
      </w:r>
      <w:r w:rsidRPr="004C7C11">
        <w:rPr>
          <w:rFonts w:ascii="Arial" w:hAnsi="Arial" w:cs="Arial"/>
        </w:rPr>
        <w:t xml:space="preserve"> ensure that fees, including uplifts are managed strategically, allowing more accurate financial forecasting and ensuring principles of best value. Anticipated savings to be modelled. Procurement activity is also needed beyond the framework that we have joined as this alone is unlikely to provide adequate capacity. </w:t>
      </w:r>
    </w:p>
    <w:p w14:paraId="634739F3" w14:textId="77777777" w:rsidR="006050CA" w:rsidRDefault="006050CA" w:rsidP="00EB3CDE">
      <w:pPr>
        <w:spacing w:after="120"/>
        <w:ind w:left="1440"/>
        <w:rPr>
          <w:rFonts w:ascii="Arial" w:hAnsi="Arial" w:cs="Arial"/>
        </w:rPr>
      </w:pPr>
    </w:p>
    <w:p w14:paraId="3E87137E" w14:textId="77777777" w:rsidR="006050CA" w:rsidRDefault="00D370DC" w:rsidP="00D4693B">
      <w:pPr>
        <w:pStyle w:val="Heading3"/>
      </w:pPr>
      <w:r w:rsidRPr="004C7C11">
        <w:t xml:space="preserve">Health Funding Provision: </w:t>
      </w:r>
    </w:p>
    <w:p w14:paraId="5F03980C" w14:textId="77777777" w:rsidR="00D370DC" w:rsidRPr="004C7C11" w:rsidRDefault="00D370DC" w:rsidP="00D4693B">
      <w:pPr>
        <w:pStyle w:val="Heading3"/>
        <w:numPr>
          <w:ilvl w:val="0"/>
          <w:numId w:val="0"/>
        </w:numPr>
        <w:ind w:left="1440"/>
      </w:pPr>
      <w:r w:rsidRPr="004C7C11">
        <w:t xml:space="preserve">A review of Health funding for provision currently covered by schools is taking place. An agreed protocol has been drafted, which establishes the correct proportion of funding to be provided by Health. This also includes a contribution to INMSS placements. It is hoped that a final draft will be complete by the end of the year and approval will be sought from the Joint Commissioning Executive by the end of January 2023. </w:t>
      </w:r>
    </w:p>
    <w:p w14:paraId="27ECE4F2" w14:textId="77777777" w:rsidR="00791BCB" w:rsidRDefault="00791BCB" w:rsidP="00D370DC">
      <w:pPr>
        <w:spacing w:after="120"/>
        <w:rPr>
          <w:rFonts w:ascii="Arial" w:hAnsi="Arial" w:cs="Arial"/>
        </w:rPr>
        <w:sectPr w:rsidR="00791BCB" w:rsidSect="00D4693B">
          <w:pgSz w:w="11907" w:h="16840" w:code="9"/>
          <w:pgMar w:top="993" w:right="1417" w:bottom="1135" w:left="1276" w:header="275" w:footer="76" w:gutter="0"/>
          <w:cols w:space="708"/>
          <w:docGrid w:linePitch="360"/>
        </w:sectPr>
      </w:pPr>
    </w:p>
    <w:p w14:paraId="4617D08F" w14:textId="77777777" w:rsidR="00D370DC" w:rsidRPr="004C7C11" w:rsidRDefault="00D370DC" w:rsidP="00D370DC">
      <w:pPr>
        <w:spacing w:after="120"/>
        <w:rPr>
          <w:rFonts w:ascii="Arial" w:hAnsi="Arial" w:cs="Arial"/>
        </w:rPr>
      </w:pPr>
    </w:p>
    <w:p w14:paraId="1AA8E414" w14:textId="77777777" w:rsidR="00D370DC" w:rsidRPr="00D4693B" w:rsidRDefault="00D370DC" w:rsidP="00D4693B">
      <w:pPr>
        <w:pStyle w:val="Heading1"/>
      </w:pPr>
      <w:r w:rsidRPr="00D4693B">
        <w:t xml:space="preserve">Delivering Better Value </w:t>
      </w:r>
      <w:r w:rsidR="006050CA" w:rsidRPr="00D4693B">
        <w:t xml:space="preserve">(DBV) </w:t>
      </w:r>
      <w:r w:rsidRPr="00D4693B">
        <w:t xml:space="preserve">Programme - Progress &amp; Key Drivers for our Current Position </w:t>
      </w:r>
    </w:p>
    <w:p w14:paraId="5C429CD8" w14:textId="77777777" w:rsidR="00D370DC" w:rsidRPr="00D4693B" w:rsidRDefault="00D370DC" w:rsidP="00D4693B">
      <w:pPr>
        <w:pStyle w:val="Heading2"/>
      </w:pPr>
      <w:r w:rsidRPr="00D4693B">
        <w:t xml:space="preserve">The revised DBV DMP submitted to DfE on Friday 19 January 2024 contains details of unmitigated forecasts, areas driving spend and keys areas of focus for cases studies (Special Schools Inreach / Outreach, Enhanced Pathways, Relational Schools, and Behavioural Inclusion). Case studies, parent carer surveys and data deep dives took place during 2023 to gather further insight. </w:t>
      </w:r>
    </w:p>
    <w:p w14:paraId="0287F28C" w14:textId="77777777" w:rsidR="00D370DC" w:rsidRPr="004C7C11" w:rsidRDefault="00D370DC" w:rsidP="00D4693B">
      <w:pPr>
        <w:pStyle w:val="Heading2"/>
      </w:pPr>
      <w:r w:rsidRPr="004C7C11">
        <w:t xml:space="preserve">The revised final plan will be completed in the next 3 months. </w:t>
      </w:r>
    </w:p>
    <w:p w14:paraId="3470A3CD" w14:textId="77777777" w:rsidR="00D370DC" w:rsidRPr="004C7C11" w:rsidRDefault="00D370DC" w:rsidP="00D4693B">
      <w:pPr>
        <w:pStyle w:val="Heading2"/>
      </w:pPr>
      <w:r w:rsidRPr="004C7C11">
        <w:t xml:space="preserve">The work with the DBV programme has helped to confirm several key areas of SEND expenditure, and possible drivers for this expenditure. The intention is to investigate these further, as part of the implementation plan and DBV funding proposal to the DfE: </w:t>
      </w:r>
    </w:p>
    <w:p w14:paraId="6048B921" w14:textId="77777777" w:rsidR="00D370DC" w:rsidRPr="004C7C11" w:rsidRDefault="00D370DC" w:rsidP="00DC1961">
      <w:pPr>
        <w:pStyle w:val="ListParagraph"/>
        <w:numPr>
          <w:ilvl w:val="0"/>
          <w:numId w:val="58"/>
        </w:numPr>
        <w:spacing w:after="120"/>
        <w:ind w:left="1418" w:hanging="578"/>
        <w:contextualSpacing w:val="0"/>
      </w:pPr>
      <w:r w:rsidRPr="004C7C11">
        <w:t xml:space="preserve">Independent Non-Maintained Special School (INMSS) expenditure represents the highest area of growth over the next 5 years and is driven by number of EHC Plans. (Current spend is c.£25m on 450 children/young people) </w:t>
      </w:r>
    </w:p>
    <w:p w14:paraId="60F306AC" w14:textId="77777777" w:rsidR="00D370DC" w:rsidRPr="004C7C11" w:rsidRDefault="00D370DC" w:rsidP="00DC1961">
      <w:pPr>
        <w:pStyle w:val="ListParagraph"/>
        <w:numPr>
          <w:ilvl w:val="0"/>
          <w:numId w:val="58"/>
        </w:numPr>
        <w:spacing w:after="120"/>
        <w:ind w:left="1418" w:hanging="578"/>
        <w:contextualSpacing w:val="0"/>
      </w:pPr>
      <w:r w:rsidRPr="004C7C11">
        <w:t xml:space="preserve">Mainstream expenditure is the second highest forecasted spend in the next 5 years and is driven by increasing number of EHC Plans Page 384 </w:t>
      </w:r>
    </w:p>
    <w:p w14:paraId="6653CC99" w14:textId="77777777" w:rsidR="00D370DC" w:rsidRPr="004C7C11" w:rsidRDefault="00D370DC" w:rsidP="00DC1961">
      <w:pPr>
        <w:pStyle w:val="ListParagraph"/>
        <w:numPr>
          <w:ilvl w:val="0"/>
          <w:numId w:val="58"/>
        </w:numPr>
        <w:spacing w:after="120"/>
        <w:ind w:left="1418" w:hanging="578"/>
        <w:contextualSpacing w:val="0"/>
      </w:pPr>
      <w:r w:rsidRPr="004C7C11">
        <w:t xml:space="preserve">Of the number of EHC Plans in INMSS, the caseload is primarily driven by children and young people (CYP) with pre-existing EHC Plans who move provision. </w:t>
      </w:r>
    </w:p>
    <w:p w14:paraId="37DCFACD" w14:textId="77777777" w:rsidR="00D370DC" w:rsidRPr="004C7C11" w:rsidRDefault="00D370DC" w:rsidP="00DC1961">
      <w:pPr>
        <w:pStyle w:val="ListParagraph"/>
        <w:numPr>
          <w:ilvl w:val="0"/>
          <w:numId w:val="58"/>
        </w:numPr>
        <w:spacing w:after="120"/>
        <w:ind w:left="1418" w:hanging="578"/>
        <w:contextualSpacing w:val="0"/>
      </w:pPr>
      <w:r w:rsidRPr="004C7C11">
        <w:t xml:space="preserve">Of the number of EHC Plans in mainstream, the caseload is primarily driven by new EHC Plan starts. </w:t>
      </w:r>
    </w:p>
    <w:p w14:paraId="338E4F8F" w14:textId="77777777" w:rsidR="00D370DC" w:rsidRPr="004C7C11" w:rsidRDefault="00D370DC" w:rsidP="00DC1961">
      <w:pPr>
        <w:pStyle w:val="ListParagraph"/>
        <w:numPr>
          <w:ilvl w:val="0"/>
          <w:numId w:val="58"/>
        </w:numPr>
        <w:spacing w:after="120"/>
        <w:ind w:left="1418" w:hanging="578"/>
        <w:contextualSpacing w:val="0"/>
      </w:pPr>
      <w:r w:rsidRPr="004C7C11">
        <w:t xml:space="preserve">Oxfordshire already has a comparatively low rate of EHC Plans compared to statistical neighbours and is below the national (England) average. This suggests that there is minimal opportunity in supporting more CYP with SEN support if the target is what has been achievable in similar authorities. </w:t>
      </w:r>
    </w:p>
    <w:p w14:paraId="758EE68E" w14:textId="77777777" w:rsidR="00D370DC" w:rsidRPr="004C7C11" w:rsidRDefault="00D370DC" w:rsidP="00DC1961">
      <w:pPr>
        <w:pStyle w:val="ListParagraph"/>
        <w:numPr>
          <w:ilvl w:val="0"/>
          <w:numId w:val="58"/>
        </w:numPr>
        <w:spacing w:after="120"/>
        <w:ind w:left="1418" w:hanging="578"/>
        <w:contextualSpacing w:val="0"/>
      </w:pPr>
      <w:r w:rsidRPr="004C7C11">
        <w:t xml:space="preserve">From work with the DBV programme, escalation of provision has contributed to the rise of EHC Plans in special schools. Amongst the parents and carers with children that moved from mainstream to specialist provisions, the driving factor most commonly cited behind these moves is a perceived inability to meet need by the mainstream setting. </w:t>
      </w:r>
    </w:p>
    <w:p w14:paraId="062FCBFA" w14:textId="77777777" w:rsidR="00D370DC" w:rsidRPr="004C7C11" w:rsidRDefault="00D370DC" w:rsidP="00DC1961">
      <w:pPr>
        <w:pStyle w:val="ListParagraph"/>
        <w:numPr>
          <w:ilvl w:val="0"/>
          <w:numId w:val="58"/>
        </w:numPr>
        <w:spacing w:after="120"/>
        <w:ind w:left="1418" w:hanging="578"/>
        <w:contextualSpacing w:val="0"/>
      </w:pPr>
      <w:r w:rsidRPr="004C7C11">
        <w:t xml:space="preserve">Confidence in the ability to meet need is low across all key stages apart from in KS5 (post 16) settings and nursery. This reflects earlier findings that EHC Plans spike in transition years. </w:t>
      </w:r>
    </w:p>
    <w:p w14:paraId="72B0E8FE" w14:textId="77777777" w:rsidR="00D370DC" w:rsidRPr="004C7C11" w:rsidRDefault="00D370DC" w:rsidP="00DC1961">
      <w:pPr>
        <w:pStyle w:val="ListParagraph"/>
        <w:numPr>
          <w:ilvl w:val="0"/>
          <w:numId w:val="58"/>
        </w:numPr>
        <w:spacing w:after="120"/>
        <w:ind w:left="1418" w:hanging="578"/>
        <w:contextualSpacing w:val="0"/>
      </w:pPr>
      <w:r w:rsidRPr="004C7C11">
        <w:t xml:space="preserve">There are, however, always cohorts of parents and carers who are happy with the support their child is getting. This is reflected in the survey comments, suggesting that there may be opportunity to ensure greater consistency in how students with SEN are supported across schools and educational settings. </w:t>
      </w:r>
    </w:p>
    <w:p w14:paraId="07E75ACD" w14:textId="77777777" w:rsidR="00D370DC" w:rsidRPr="004C7C11" w:rsidRDefault="00D370DC" w:rsidP="00DC1961">
      <w:pPr>
        <w:pStyle w:val="ListParagraph"/>
        <w:numPr>
          <w:ilvl w:val="0"/>
          <w:numId w:val="58"/>
        </w:numPr>
        <w:spacing w:after="120"/>
        <w:ind w:left="1418" w:hanging="578"/>
        <w:contextualSpacing w:val="0"/>
      </w:pPr>
      <w:r w:rsidRPr="004C7C11">
        <w:t xml:space="preserve">The escalation of EHC Plans to specialist provision is more prominent in certain settings and merits further investigation. </w:t>
      </w:r>
    </w:p>
    <w:p w14:paraId="51932E22" w14:textId="77777777" w:rsidR="00D370DC" w:rsidRDefault="00D370DC" w:rsidP="00DC1961">
      <w:pPr>
        <w:pStyle w:val="ListParagraph"/>
        <w:numPr>
          <w:ilvl w:val="0"/>
          <w:numId w:val="58"/>
        </w:numPr>
        <w:spacing w:after="120"/>
        <w:ind w:left="1418" w:hanging="578"/>
        <w:contextualSpacing w:val="0"/>
      </w:pPr>
      <w:r w:rsidRPr="004C7C11">
        <w:t xml:space="preserve">Initial findings from case reviews and deep dives suggest there may be the potential to achieve a significant reduction in INMSS placements and for those children whose needs could be met or improved in other local settings. Further investigation is taking place around this. </w:t>
      </w:r>
    </w:p>
    <w:p w14:paraId="165DA905" w14:textId="77777777" w:rsidR="00791BCB" w:rsidRDefault="00791BCB" w:rsidP="00791BCB">
      <w:pPr>
        <w:pStyle w:val="ListParagraph"/>
        <w:spacing w:after="120"/>
        <w:contextualSpacing w:val="0"/>
      </w:pPr>
    </w:p>
    <w:p w14:paraId="2229D00D" w14:textId="77777777" w:rsidR="00791BCB" w:rsidRDefault="00791BCB" w:rsidP="00791BCB">
      <w:pPr>
        <w:pStyle w:val="ListParagraph"/>
        <w:spacing w:after="120"/>
        <w:contextualSpacing w:val="0"/>
      </w:pPr>
    </w:p>
    <w:p w14:paraId="391F5525" w14:textId="77777777" w:rsidR="00791BCB" w:rsidRPr="004C7C11" w:rsidRDefault="00791BCB" w:rsidP="00791BCB">
      <w:pPr>
        <w:pStyle w:val="ListParagraph"/>
        <w:spacing w:after="120"/>
        <w:contextualSpacing w:val="0"/>
      </w:pPr>
    </w:p>
    <w:p w14:paraId="02123ECB" w14:textId="77777777" w:rsidR="00D370DC" w:rsidRPr="004C7C11" w:rsidRDefault="00D370DC" w:rsidP="00D4693B">
      <w:pPr>
        <w:pStyle w:val="Heading2"/>
      </w:pPr>
      <w:r w:rsidRPr="004C7C11">
        <w:t>Investment</w:t>
      </w:r>
      <w:r w:rsidR="006050CA">
        <w:t xml:space="preserve"> </w:t>
      </w:r>
      <w:r w:rsidRPr="004C7C11">
        <w:t>/</w:t>
      </w:r>
      <w:r w:rsidR="006050CA">
        <w:t xml:space="preserve"> </w:t>
      </w:r>
      <w:r w:rsidRPr="004C7C11">
        <w:t xml:space="preserve">Enhanced Funding strategy </w:t>
      </w:r>
    </w:p>
    <w:p w14:paraId="10FF96C4" w14:textId="77777777" w:rsidR="00D370DC" w:rsidRPr="004C7C11" w:rsidRDefault="00D370DC" w:rsidP="00D4693B">
      <w:pPr>
        <w:pStyle w:val="Heading3"/>
      </w:pPr>
      <w:r w:rsidRPr="004C7C11">
        <w:t xml:space="preserve">Outlined below are the approaches to enable expansion of project work with schools and continue to enhance pathways in mainstream education. </w:t>
      </w:r>
    </w:p>
    <w:p w14:paraId="38478658" w14:textId="77777777" w:rsidR="00D370DC" w:rsidRPr="004C7C11" w:rsidRDefault="00D370DC" w:rsidP="00D4693B">
      <w:pPr>
        <w:pStyle w:val="Heading3"/>
      </w:pPr>
      <w:r w:rsidRPr="004C7C11">
        <w:t>The service will develop partnerships to create the implementation plans for early intervention, including how impact would be measured:</w:t>
      </w:r>
    </w:p>
    <w:p w14:paraId="2AF99DBC" w14:textId="77777777" w:rsidR="00D370DC" w:rsidRPr="004C7C11" w:rsidRDefault="00D370DC" w:rsidP="00EB3CDE">
      <w:pPr>
        <w:pStyle w:val="ListParagraph"/>
        <w:numPr>
          <w:ilvl w:val="1"/>
          <w:numId w:val="55"/>
        </w:numPr>
        <w:tabs>
          <w:tab w:val="clear" w:pos="1440"/>
        </w:tabs>
        <w:spacing w:after="120"/>
        <w:ind w:firstLine="120"/>
        <w:contextualSpacing w:val="0"/>
      </w:pPr>
      <w:r w:rsidRPr="004C7C11">
        <w:t xml:space="preserve">Inreach / outreach hubs for primary age SEMH needs. </w:t>
      </w:r>
    </w:p>
    <w:p w14:paraId="4524FEE0" w14:textId="77777777" w:rsidR="00D370DC" w:rsidRPr="004C7C11" w:rsidRDefault="00D370DC" w:rsidP="00EB3CDE">
      <w:pPr>
        <w:pStyle w:val="ListParagraph"/>
        <w:numPr>
          <w:ilvl w:val="1"/>
          <w:numId w:val="55"/>
        </w:numPr>
        <w:tabs>
          <w:tab w:val="clear" w:pos="1440"/>
        </w:tabs>
        <w:spacing w:after="120"/>
        <w:ind w:firstLine="120"/>
        <w:contextualSpacing w:val="0"/>
      </w:pPr>
      <w:r w:rsidRPr="004C7C11">
        <w:t>Whole county training in trauma informed practice.</w:t>
      </w:r>
    </w:p>
    <w:p w14:paraId="3752BF74" w14:textId="77777777" w:rsidR="00D370DC" w:rsidRPr="004C7C11" w:rsidRDefault="00D370DC" w:rsidP="00D4693B">
      <w:pPr>
        <w:pStyle w:val="Heading3"/>
      </w:pPr>
      <w:r w:rsidRPr="004C7C11">
        <w:t>Specialist team that can be deployed to carry out short term direct work with teachers and teaching assistants.</w:t>
      </w:r>
    </w:p>
    <w:p w14:paraId="7C878414" w14:textId="77777777" w:rsidR="00D370DC" w:rsidRDefault="006050CA" w:rsidP="00D4693B">
      <w:pPr>
        <w:pStyle w:val="Heading1"/>
      </w:pPr>
      <w:r>
        <w:t>Conclusion:</w:t>
      </w:r>
    </w:p>
    <w:p w14:paraId="75E2E348" w14:textId="77777777" w:rsidR="009B6653" w:rsidRDefault="006050CA" w:rsidP="00D4693B">
      <w:pPr>
        <w:pStyle w:val="Heading2"/>
      </w:pPr>
      <w:r>
        <w:t xml:space="preserve">DfE is in the process of extending the DBV programme delivery window to allow the project to continue across 2024/25. As part of the arrangements the service is currently reviewing the </w:t>
      </w:r>
      <w:r w:rsidR="009B6653">
        <w:t xml:space="preserve">Cost Reductions / Savings and extending the mitigation projection to 2026/27 The review is expected to be completed over the next 3 months. </w:t>
      </w:r>
    </w:p>
    <w:p w14:paraId="1C363047" w14:textId="77777777" w:rsidR="006050CA" w:rsidRPr="006050CA" w:rsidRDefault="009B6653" w:rsidP="00D4693B">
      <w:pPr>
        <w:pStyle w:val="Heading2"/>
      </w:pPr>
      <w:r>
        <w:t>The service will provide regular updates on progress to the Schools Forum going forward.</w:t>
      </w:r>
    </w:p>
    <w:p w14:paraId="65E6D5A7" w14:textId="77777777" w:rsidR="00D370DC" w:rsidRPr="004C7C11" w:rsidRDefault="00D370DC" w:rsidP="00D370DC">
      <w:pPr>
        <w:rPr>
          <w:rFonts w:ascii="Arial" w:hAnsi="Arial" w:cs="Arial"/>
        </w:rPr>
      </w:pPr>
    </w:p>
    <w:p w14:paraId="639F5AE8" w14:textId="77777777" w:rsidR="001F681F" w:rsidRDefault="001F681F" w:rsidP="00A50F25">
      <w:pPr>
        <w:rPr>
          <w:rFonts w:ascii="Arial" w:eastAsia="Calibri" w:hAnsi="Arial" w:cs="Arial"/>
        </w:rPr>
        <w:sectPr w:rsidR="001F681F" w:rsidSect="00D4693B">
          <w:pgSz w:w="11907" w:h="16840" w:code="9"/>
          <w:pgMar w:top="993" w:right="1134" w:bottom="1135" w:left="1276" w:header="275" w:footer="76" w:gutter="0"/>
          <w:cols w:space="708"/>
          <w:docGrid w:linePitch="360"/>
        </w:sectPr>
      </w:pPr>
    </w:p>
    <w:p w14:paraId="736F5E0E" w14:textId="77777777" w:rsidR="00D370DC" w:rsidRDefault="00D370DC" w:rsidP="00A50F25">
      <w:pPr>
        <w:rPr>
          <w:rFonts w:ascii="Arial" w:eastAsia="Calibri" w:hAnsi="Arial" w:cs="Arial"/>
        </w:rPr>
      </w:pPr>
    </w:p>
    <w:p w14:paraId="6B96AAA8" w14:textId="2C952C60" w:rsidR="006E0FDB" w:rsidRPr="00DC1961" w:rsidRDefault="006E0FDB" w:rsidP="006E0FDB">
      <w:pPr>
        <w:rPr>
          <w:rFonts w:ascii="Arial" w:eastAsia="Calibri" w:hAnsi="Arial" w:cs="Arial"/>
          <w:b/>
          <w:bCs/>
          <w:u w:val="single"/>
        </w:rPr>
      </w:pPr>
      <w:r w:rsidRPr="00DC1961">
        <w:rPr>
          <w:rFonts w:ascii="Arial" w:eastAsia="Calibri" w:hAnsi="Arial" w:cs="Arial"/>
          <w:b/>
          <w:bCs/>
          <w:u w:val="single"/>
        </w:rPr>
        <w:t>Appendix A: High Needs Budget – Medium Term Financial Strategy 2024-25 to 2026-27</w:t>
      </w:r>
    </w:p>
    <w:p w14:paraId="1574AC48" w14:textId="77777777" w:rsidR="006E0FDB" w:rsidRPr="00DC1961" w:rsidRDefault="006E0FDB" w:rsidP="00A50F25">
      <w:pPr>
        <w:rPr>
          <w:rFonts w:ascii="Arial" w:eastAsia="Calibri" w:hAnsi="Arial" w:cs="Arial"/>
          <w:b/>
          <w:bCs/>
          <w:u w:val="single"/>
        </w:rPr>
      </w:pPr>
    </w:p>
    <w:p w14:paraId="1333FB2E" w14:textId="542338BF" w:rsidR="00DC1961" w:rsidRPr="00DC1961" w:rsidRDefault="00DC1961" w:rsidP="00D4693B">
      <w:pPr>
        <w:pStyle w:val="Heading1"/>
        <w:numPr>
          <w:ilvl w:val="0"/>
          <w:numId w:val="72"/>
        </w:numPr>
        <w:ind w:left="709" w:hanging="709"/>
      </w:pPr>
      <w:r w:rsidRPr="00DC1961">
        <w:t>Principles of Special School Funding Model Agreed and implemented 2014-15 and to continue for 2023-</w:t>
      </w:r>
    </w:p>
    <w:p w14:paraId="5D4777D6" w14:textId="5ABCE06D" w:rsidR="006E0FDB" w:rsidRPr="00DC1961" w:rsidRDefault="006E0FDB" w:rsidP="00D4693B">
      <w:pPr>
        <w:pStyle w:val="Heading2"/>
      </w:pPr>
      <w:r w:rsidRPr="00DC1961">
        <w:rPr>
          <w:b/>
          <w:color w:val="FF0000"/>
        </w:rPr>
        <w:tab/>
      </w:r>
      <w:r w:rsidRPr="00DC1961">
        <w:t xml:space="preserve">The original intended approach for the financial year 2014-15 was to review the profile of pupils across each of the special schools and special academies and develop a banding system that reflected the different levels of support required for pupils. At that time this proved difficult to achieve, and special school and special academy headteachers asked local authority officers to investigate a simpler modelling approach which gave schools the same level of top-up per pupil but differentiated on some other specific costs relating to each school such as premises factors and pupils, such as deprivation. </w:t>
      </w:r>
    </w:p>
    <w:p w14:paraId="6D95FC13" w14:textId="373AA2F7" w:rsidR="006E0FDB" w:rsidRPr="006E0FDB" w:rsidRDefault="006E0FDB" w:rsidP="00D4693B">
      <w:pPr>
        <w:pStyle w:val="Heading2"/>
      </w:pPr>
      <w:r w:rsidRPr="006E0FDB">
        <w:t xml:space="preserve">The overall level of top-up for pupils in each school would therefore be different, mainly because of premises and deprivation variances. The rationale for having the same average top up per pupil in respect of non-premises costs put forward by schools and adopted by the local authority is based on the following: </w:t>
      </w:r>
    </w:p>
    <w:p w14:paraId="2DF45FDC" w14:textId="6309D6EF" w:rsidR="006E0FDB" w:rsidRPr="006E0FDB" w:rsidRDefault="006E0FDB" w:rsidP="006E0FDB">
      <w:pPr>
        <w:pStyle w:val="Default"/>
        <w:numPr>
          <w:ilvl w:val="0"/>
          <w:numId w:val="70"/>
        </w:numPr>
        <w:spacing w:after="37"/>
        <w:rPr>
          <w:color w:val="auto"/>
        </w:rPr>
      </w:pPr>
      <w:r w:rsidRPr="006E0FDB">
        <w:rPr>
          <w:color w:val="auto"/>
        </w:rPr>
        <w:t>all schools have pupils with a wide range of needs, and on average it is expected that this approach would provide each school with a reasonable distribution of the resources available</w:t>
      </w:r>
      <w:r>
        <w:rPr>
          <w:color w:val="auto"/>
        </w:rPr>
        <w:t>.</w:t>
      </w:r>
      <w:r w:rsidRPr="006E0FDB">
        <w:rPr>
          <w:color w:val="auto"/>
        </w:rPr>
        <w:t xml:space="preserve"> </w:t>
      </w:r>
    </w:p>
    <w:p w14:paraId="130E579C" w14:textId="64BE73D1" w:rsidR="006E0FDB" w:rsidRPr="006E0FDB" w:rsidRDefault="006E0FDB" w:rsidP="006E0FDB">
      <w:pPr>
        <w:pStyle w:val="Default"/>
        <w:numPr>
          <w:ilvl w:val="0"/>
          <w:numId w:val="70"/>
        </w:numPr>
        <w:spacing w:after="37"/>
        <w:rPr>
          <w:color w:val="auto"/>
        </w:rPr>
      </w:pPr>
      <w:r w:rsidRPr="006E0FDB">
        <w:rPr>
          <w:color w:val="auto"/>
        </w:rPr>
        <w:t>schools were concerned about the time needed to develop and moderate the pupil profiling approach and the accuracy / objectivity of such an approach</w:t>
      </w:r>
      <w:r>
        <w:rPr>
          <w:color w:val="auto"/>
        </w:rPr>
        <w:t>.</w:t>
      </w:r>
    </w:p>
    <w:p w14:paraId="2843C999" w14:textId="796DFEAD" w:rsidR="006E0FDB" w:rsidRPr="006E0FDB" w:rsidRDefault="006E0FDB" w:rsidP="006E0FDB">
      <w:pPr>
        <w:pStyle w:val="Default"/>
        <w:numPr>
          <w:ilvl w:val="0"/>
          <w:numId w:val="70"/>
        </w:numPr>
        <w:spacing w:after="37"/>
        <w:rPr>
          <w:color w:val="auto"/>
        </w:rPr>
      </w:pPr>
      <w:r w:rsidRPr="006E0FDB">
        <w:rPr>
          <w:color w:val="auto"/>
        </w:rPr>
        <w:t>it was expected that the top up funding available overall is unlikely to increase to any great extent and therefore the available resources will need to be divided among all special schools and special academies as fairly as possible</w:t>
      </w:r>
      <w:r>
        <w:rPr>
          <w:color w:val="auto"/>
        </w:rPr>
        <w:t>.</w:t>
      </w:r>
      <w:r w:rsidRPr="006E0FDB">
        <w:rPr>
          <w:color w:val="auto"/>
        </w:rPr>
        <w:t xml:space="preserve"> </w:t>
      </w:r>
    </w:p>
    <w:p w14:paraId="4B99C8D3" w14:textId="0BD02651" w:rsidR="006E0FDB" w:rsidRPr="006E0FDB" w:rsidRDefault="006E0FDB" w:rsidP="006E0FDB">
      <w:pPr>
        <w:pStyle w:val="Default"/>
        <w:numPr>
          <w:ilvl w:val="0"/>
          <w:numId w:val="70"/>
        </w:numPr>
        <w:spacing w:after="37"/>
        <w:rPr>
          <w:color w:val="auto"/>
        </w:rPr>
      </w:pPr>
      <w:r w:rsidRPr="006E0FDB">
        <w:rPr>
          <w:color w:val="auto"/>
        </w:rPr>
        <w:t>schools and academies would have more predictability and stability in their budgets which would help them plan support for the different needs of all of their pupils over the short and longer terms</w:t>
      </w:r>
      <w:r>
        <w:rPr>
          <w:color w:val="auto"/>
        </w:rPr>
        <w:t>.</w:t>
      </w:r>
      <w:r w:rsidRPr="006E0FDB">
        <w:rPr>
          <w:color w:val="auto"/>
        </w:rPr>
        <w:t xml:space="preserve"> </w:t>
      </w:r>
    </w:p>
    <w:p w14:paraId="65BA231D" w14:textId="4B5AA174" w:rsidR="006E0FDB" w:rsidRPr="006E0FDB" w:rsidRDefault="006E0FDB" w:rsidP="006E0FDB">
      <w:pPr>
        <w:pStyle w:val="Default"/>
        <w:numPr>
          <w:ilvl w:val="0"/>
          <w:numId w:val="70"/>
        </w:numPr>
        <w:rPr>
          <w:color w:val="auto"/>
        </w:rPr>
      </w:pPr>
      <w:r w:rsidRPr="006E0FDB">
        <w:rPr>
          <w:color w:val="auto"/>
        </w:rPr>
        <w:t>schools would be able to apply a form of pupil profiling if they so wish, determining low, medium and high-cost students when calculating the level of top up funding to be claimed from other authorities</w:t>
      </w:r>
      <w:r>
        <w:rPr>
          <w:color w:val="auto"/>
        </w:rPr>
        <w:t>.</w:t>
      </w:r>
      <w:r w:rsidRPr="006E0FDB">
        <w:rPr>
          <w:color w:val="auto"/>
        </w:rPr>
        <w:t xml:space="preserve"> </w:t>
      </w:r>
    </w:p>
    <w:p w14:paraId="30E1EEEC" w14:textId="77777777" w:rsidR="006E0FDB" w:rsidRPr="006E0FDB" w:rsidRDefault="006E0FDB" w:rsidP="006E0FDB">
      <w:pPr>
        <w:ind w:left="1429" w:hanging="709"/>
        <w:rPr>
          <w:rFonts w:ascii="Arial" w:eastAsia="Calibri" w:hAnsi="Arial" w:cs="Arial"/>
          <w:color w:val="FF0000"/>
        </w:rPr>
      </w:pPr>
    </w:p>
    <w:p w14:paraId="66978FFA" w14:textId="663B251B" w:rsidR="006E0FDB" w:rsidRPr="00DC1961" w:rsidRDefault="006E0FDB" w:rsidP="00D4693B">
      <w:pPr>
        <w:pStyle w:val="Heading2"/>
      </w:pPr>
      <w:r w:rsidRPr="006E0FDB">
        <w:rPr>
          <w:color w:val="FF0000"/>
          <w:szCs w:val="24"/>
        </w:rPr>
        <w:tab/>
      </w:r>
      <w:r w:rsidRPr="00DC1961">
        <w:t xml:space="preserve">As </w:t>
      </w:r>
      <w:r w:rsidR="00DC1961" w:rsidRPr="00DC1961">
        <w:t>expected,</w:t>
      </w:r>
      <w:r w:rsidRPr="00DC1961">
        <w:t xml:space="preserve"> remodelling resulted in winners and losers, and Dedicated Schools Grant (DSG) conditions provide for Minimum Funding Guarantee (MFG) protection relating to special school top up funding in a similar way as for primary and secondary schools. The operational guidance provides some more information about the principles to be applied but does not state a formula that is to be applied in the same way as that for primary and secondary schools. </w:t>
      </w:r>
    </w:p>
    <w:p w14:paraId="5F7B4528" w14:textId="77777777" w:rsidR="006E0FDB" w:rsidRPr="006E0FDB" w:rsidRDefault="006E0FDB" w:rsidP="006E0FDB">
      <w:pPr>
        <w:rPr>
          <w:rFonts w:ascii="Arial" w:eastAsia="Calibri" w:hAnsi="Arial" w:cs="Arial"/>
          <w:b/>
        </w:rPr>
      </w:pPr>
    </w:p>
    <w:p w14:paraId="5BC11E87" w14:textId="77777777" w:rsidR="006E0FDB" w:rsidRPr="006E0FDB" w:rsidRDefault="006E0FDB" w:rsidP="006E0FDB">
      <w:pPr>
        <w:rPr>
          <w:rFonts w:ascii="Arial" w:eastAsia="Calibri" w:hAnsi="Arial" w:cs="Arial"/>
          <w:b/>
        </w:rPr>
        <w:sectPr w:rsidR="006E0FDB" w:rsidRPr="006E0FDB" w:rsidSect="00D4693B">
          <w:pgSz w:w="11907" w:h="16840" w:code="9"/>
          <w:pgMar w:top="993" w:right="1275" w:bottom="1135" w:left="1276" w:header="275" w:footer="76" w:gutter="0"/>
          <w:cols w:space="708"/>
          <w:docGrid w:linePitch="360"/>
        </w:sectPr>
      </w:pPr>
    </w:p>
    <w:p w14:paraId="5604EEAA" w14:textId="2AC2ACD2" w:rsidR="006E0FDB" w:rsidRPr="006E0FDB" w:rsidRDefault="006E0FDB" w:rsidP="00D4693B">
      <w:pPr>
        <w:pStyle w:val="Heading1"/>
      </w:pPr>
      <w:r w:rsidRPr="006E0FDB">
        <w:lastRenderedPageBreak/>
        <w:t xml:space="preserve">Detailed assumptions used in </w:t>
      </w:r>
      <w:r w:rsidR="00DC1961" w:rsidRPr="006E0FDB">
        <w:t>modelling.</w:t>
      </w:r>
    </w:p>
    <w:p w14:paraId="69EDCD9F" w14:textId="17FFD6AE" w:rsidR="006E0FDB" w:rsidRPr="006E0FDB" w:rsidRDefault="006E0FDB" w:rsidP="00D4693B">
      <w:pPr>
        <w:pStyle w:val="Heading2"/>
      </w:pPr>
      <w:r w:rsidRPr="006E0FDB">
        <w:t xml:space="preserve">Place funding for the financial year 2024-25, subject to the specifics below, is in general based in part on the academic year 2023-24 place numbers and places agreed for September 2024 for the first part of the 2024-25 academic year. Place numbers are provided by the LA’s SEN team following discussion with special schools and academies. </w:t>
      </w:r>
    </w:p>
    <w:p w14:paraId="194A8713" w14:textId="54F52D56" w:rsidR="006E0FDB" w:rsidRPr="006E0FDB" w:rsidRDefault="006E0FDB" w:rsidP="00D4693B">
      <w:pPr>
        <w:pStyle w:val="Heading2"/>
      </w:pPr>
      <w:r w:rsidRPr="006E0FDB">
        <w:t>Place number calculation</w:t>
      </w:r>
    </w:p>
    <w:p w14:paraId="5B2CAD2E" w14:textId="37076118" w:rsidR="006E0FDB" w:rsidRPr="006E0FDB" w:rsidRDefault="006E0FDB" w:rsidP="006E0FDB">
      <w:pPr>
        <w:pStyle w:val="ListParagraph"/>
        <w:numPr>
          <w:ilvl w:val="0"/>
          <w:numId w:val="67"/>
        </w:numPr>
      </w:pPr>
      <w:r w:rsidRPr="006E0FDB">
        <w:t>Full time equivalent Pre-16 places are calculated 7/12</w:t>
      </w:r>
      <w:r w:rsidRPr="006E0FDB">
        <w:rPr>
          <w:vertAlign w:val="superscript"/>
        </w:rPr>
        <w:t>th</w:t>
      </w:r>
      <w:r w:rsidRPr="006E0FDB">
        <w:t xml:space="preserve"> agreed place numbers for academic year 2023-24 and 5/12</w:t>
      </w:r>
      <w:r w:rsidRPr="006E0FDB">
        <w:rPr>
          <w:vertAlign w:val="superscript"/>
        </w:rPr>
        <w:t>th</w:t>
      </w:r>
      <w:r w:rsidRPr="006E0FDB">
        <w:t xml:space="preserve"> agreed place numbers for academic year 2024-25</w:t>
      </w:r>
    </w:p>
    <w:p w14:paraId="5BFCB046" w14:textId="37EE2EFC" w:rsidR="006E0FDB" w:rsidRPr="006E0FDB" w:rsidRDefault="006E0FDB" w:rsidP="006E0FDB">
      <w:pPr>
        <w:pStyle w:val="ListParagraph"/>
        <w:numPr>
          <w:ilvl w:val="0"/>
          <w:numId w:val="67"/>
        </w:numPr>
      </w:pPr>
      <w:r w:rsidRPr="006E0FDB">
        <w:t>Full time equivalent Post-16 places are calculated 8/12</w:t>
      </w:r>
      <w:r w:rsidRPr="006E0FDB">
        <w:rPr>
          <w:vertAlign w:val="superscript"/>
        </w:rPr>
        <w:t>th</w:t>
      </w:r>
      <w:r w:rsidRPr="006E0FDB">
        <w:t xml:space="preserve"> agreed place numbers for academic year 2023-24 and 4/12</w:t>
      </w:r>
      <w:r w:rsidRPr="006E0FDB">
        <w:rPr>
          <w:vertAlign w:val="superscript"/>
        </w:rPr>
        <w:t>th</w:t>
      </w:r>
      <w:r w:rsidRPr="006E0FDB">
        <w:t xml:space="preserve"> agreed place numbers for academic year 2024-25</w:t>
      </w:r>
    </w:p>
    <w:p w14:paraId="08036338" w14:textId="77777777" w:rsidR="006E0FDB" w:rsidRPr="006E0FDB" w:rsidRDefault="006E0FDB" w:rsidP="006E0FDB">
      <w:pPr>
        <w:ind w:left="720"/>
        <w:rPr>
          <w:rFonts w:ascii="Arial" w:eastAsia="Calibri" w:hAnsi="Arial" w:cs="Arial"/>
          <w:color w:val="FF0000"/>
        </w:rPr>
      </w:pPr>
      <w:r w:rsidRPr="006E0FDB">
        <w:rPr>
          <w:rFonts w:ascii="Arial" w:eastAsia="Calibri" w:hAnsi="Arial" w:cs="Arial"/>
        </w:rPr>
        <w:t>This weighting approach mirrors the funding methodology assumed by the ESFA/DfE for Pre-16 and Post 16 pupils</w:t>
      </w:r>
      <w:r w:rsidRPr="00A9348E">
        <w:rPr>
          <w:rFonts w:ascii="Arial" w:eastAsia="Calibri" w:hAnsi="Arial" w:cs="Arial"/>
        </w:rPr>
        <w:t>.</w:t>
      </w:r>
    </w:p>
    <w:p w14:paraId="3E18BC44" w14:textId="77777777" w:rsidR="006E0FDB" w:rsidRPr="00DC1961" w:rsidRDefault="006E0FDB" w:rsidP="00D4693B">
      <w:pPr>
        <w:pStyle w:val="Heading2"/>
      </w:pPr>
      <w:r w:rsidRPr="006E0FDB">
        <w:rPr>
          <w:color w:val="FF0000"/>
        </w:rPr>
        <w:tab/>
      </w:r>
      <w:r w:rsidRPr="00DC1961">
        <w:t xml:space="preserve">Once formula funding allocations are issued and the financial year has begun, any agreed increase in place numbers and resultant funding is dealt with outside of this formula modelling. In exceptional circumstances should place numbers fall, reduction in funding to the school or academy will be considered by the local authority.  </w:t>
      </w:r>
    </w:p>
    <w:p w14:paraId="28280DAB" w14:textId="77777777" w:rsidR="006E0FDB" w:rsidRPr="006E0FDB" w:rsidRDefault="006E0FDB" w:rsidP="00D4693B">
      <w:pPr>
        <w:pStyle w:val="Heading2"/>
      </w:pPr>
      <w:r w:rsidRPr="006E0FDB">
        <w:t>Funding per place falls into two parts:</w:t>
      </w:r>
    </w:p>
    <w:p w14:paraId="23A117FD" w14:textId="77777777" w:rsidR="006E0FDB" w:rsidRPr="006E0FDB" w:rsidRDefault="006E0FDB" w:rsidP="006E0FDB">
      <w:pPr>
        <w:pStyle w:val="ListParagraph"/>
        <w:numPr>
          <w:ilvl w:val="0"/>
          <w:numId w:val="68"/>
        </w:numPr>
      </w:pPr>
      <w:r w:rsidRPr="006E0FDB">
        <w:rPr>
          <w:color w:val="000000"/>
        </w:rPr>
        <w:t>Core funding: £10,000</w:t>
      </w:r>
      <w:r w:rsidRPr="006E0FDB">
        <w:t>, as set by the DfE and explained in detail in the DSG High Needs funding guidance. The DfE have incorporated the teachers’ pay grant (TPG) and teachers’ pension employer contribution grant (TPECG) within the high needs national funding formula. An allocation of £660 per pupil will be included for 2023-24 to reflect the Teachers’ Pay and Pensions funding (formerly TPG and TPECG). This funding will be included as a separate line on special schools’ statements so that it is transparent and readily identifiable.</w:t>
      </w:r>
    </w:p>
    <w:p w14:paraId="76220798" w14:textId="77777777" w:rsidR="006E0FDB" w:rsidRPr="006E0FDB" w:rsidRDefault="006E0FDB" w:rsidP="006E0FDB">
      <w:pPr>
        <w:pStyle w:val="ListParagraph"/>
        <w:numPr>
          <w:ilvl w:val="0"/>
          <w:numId w:val="68"/>
        </w:numPr>
      </w:pPr>
      <w:r w:rsidRPr="006E0FDB">
        <w:t xml:space="preserve">Top-up funding: a level of funding required over and above core funding to enable a pupil with high needs to participate in education and training. This is the balance of the overall budget available for special schools and academies after core funding and other specific funding allocations have been made (see paragraphs 2.2 to 2.8 below). </w:t>
      </w:r>
    </w:p>
    <w:p w14:paraId="5D94A17B" w14:textId="35F3EFE9" w:rsidR="006E0FDB" w:rsidRPr="006E0FDB" w:rsidRDefault="006E0FDB" w:rsidP="00D4693B">
      <w:pPr>
        <w:pStyle w:val="Heading2"/>
      </w:pPr>
      <w:r w:rsidRPr="006E0FDB">
        <w:t xml:space="preserve">The residential allocation for Woodeaton Manor, </w:t>
      </w:r>
      <w:r w:rsidRPr="006E0FDB">
        <w:rPr>
          <w:color w:val="000000"/>
        </w:rPr>
        <w:t>applied to a number of residential places,</w:t>
      </w:r>
      <w:r w:rsidRPr="006E0FDB">
        <w:t xml:space="preserve"> has been maintained at the same level as for prior years. </w:t>
      </w:r>
    </w:p>
    <w:p w14:paraId="72B11E51" w14:textId="4705919A" w:rsidR="006E0FDB" w:rsidRPr="006E0FDB" w:rsidRDefault="006E0FDB" w:rsidP="00D4693B">
      <w:pPr>
        <w:pStyle w:val="Heading2"/>
      </w:pPr>
      <w:r w:rsidRPr="006E0FDB">
        <w:tab/>
        <w:t xml:space="preserve">Premises allocations totalling £1.06m has been allocated to special schools on the basis of previously available floor area information. </w:t>
      </w:r>
    </w:p>
    <w:p w14:paraId="5E78F0C9" w14:textId="3E648A56" w:rsidR="006E0FDB" w:rsidRPr="006E0FDB" w:rsidRDefault="006E0FDB" w:rsidP="00782BFA">
      <w:pPr>
        <w:pStyle w:val="Heading2"/>
      </w:pPr>
      <w:r w:rsidRPr="006E0FDB">
        <w:t xml:space="preserve">Split sites allocations have been included in the modelling. Special school headteachers had previously agreed which schools have additional sites and this information is used to allocate the overall split site budget between these schools. The level of funding for this factor has been maintained as recommended by special school headteachers to ensure smaller schools such as Bishopswood have some protection against costs of being on multi-sites. The total budget of approximately £112k is divided equally between the 4 schools identified as having an additional site, giving £28k each. Schools identified as having additional sites are as </w:t>
      </w:r>
      <w:r w:rsidR="00D4693B" w:rsidRPr="006E0FDB">
        <w:t>follows.</w:t>
      </w:r>
    </w:p>
    <w:p w14:paraId="60BA3C90" w14:textId="77777777" w:rsidR="006E0FDB" w:rsidRPr="006E0FDB" w:rsidRDefault="006E0FDB" w:rsidP="006E0FDB">
      <w:pPr>
        <w:ind w:left="709" w:hanging="709"/>
        <w:rPr>
          <w:rFonts w:ascii="Arial" w:eastAsia="Calibri" w:hAnsi="Arial" w:cs="Arial"/>
          <w:color w:val="FF0000"/>
        </w:rPr>
      </w:pPr>
      <w:r w:rsidRPr="006E0FDB">
        <w:rPr>
          <w:rFonts w:ascii="Arial" w:eastAsia="Calibri" w:hAnsi="Arial" w:cs="Arial"/>
          <w:color w:val="FF0000"/>
        </w:rPr>
        <w:t xml:space="preserve">  </w:t>
      </w:r>
    </w:p>
    <w:p w14:paraId="63B24F94" w14:textId="77777777" w:rsidR="006E0FDB" w:rsidRPr="006E0FDB" w:rsidRDefault="006E0FDB" w:rsidP="006E0FDB">
      <w:pPr>
        <w:numPr>
          <w:ilvl w:val="0"/>
          <w:numId w:val="69"/>
        </w:numPr>
        <w:contextualSpacing/>
        <w:rPr>
          <w:rFonts w:ascii="Arial" w:eastAsia="Calibri" w:hAnsi="Arial" w:cs="Arial"/>
        </w:rPr>
      </w:pPr>
      <w:r w:rsidRPr="006E0FDB">
        <w:rPr>
          <w:rFonts w:ascii="Arial" w:eastAsia="Calibri" w:hAnsi="Arial" w:cs="Arial"/>
        </w:rPr>
        <w:lastRenderedPageBreak/>
        <w:t>John Watson</w:t>
      </w:r>
    </w:p>
    <w:p w14:paraId="4AA3D6DA" w14:textId="77777777" w:rsidR="006E0FDB" w:rsidRPr="006E0FDB" w:rsidRDefault="006E0FDB" w:rsidP="006E0FDB">
      <w:pPr>
        <w:numPr>
          <w:ilvl w:val="0"/>
          <w:numId w:val="69"/>
        </w:numPr>
        <w:contextualSpacing/>
        <w:rPr>
          <w:rFonts w:ascii="Arial" w:eastAsia="Calibri" w:hAnsi="Arial" w:cs="Arial"/>
        </w:rPr>
      </w:pPr>
      <w:r w:rsidRPr="006E0FDB">
        <w:rPr>
          <w:rFonts w:ascii="Arial" w:eastAsia="Calibri" w:hAnsi="Arial" w:cs="Arial"/>
        </w:rPr>
        <w:t>Springfield</w:t>
      </w:r>
    </w:p>
    <w:p w14:paraId="0A764D3A" w14:textId="77777777" w:rsidR="006E0FDB" w:rsidRPr="006E0FDB" w:rsidRDefault="006E0FDB" w:rsidP="006E0FDB">
      <w:pPr>
        <w:numPr>
          <w:ilvl w:val="0"/>
          <w:numId w:val="69"/>
        </w:numPr>
        <w:contextualSpacing/>
        <w:rPr>
          <w:rFonts w:ascii="Arial" w:eastAsia="Calibri" w:hAnsi="Arial" w:cs="Arial"/>
        </w:rPr>
      </w:pPr>
      <w:r w:rsidRPr="006E0FDB">
        <w:rPr>
          <w:rFonts w:ascii="Arial" w:eastAsia="Calibri" w:hAnsi="Arial" w:cs="Arial"/>
        </w:rPr>
        <w:t>Mabel Prichard</w:t>
      </w:r>
    </w:p>
    <w:p w14:paraId="777D705A" w14:textId="77777777" w:rsidR="006E0FDB" w:rsidRPr="006E0FDB" w:rsidRDefault="006E0FDB" w:rsidP="006E0FDB">
      <w:pPr>
        <w:numPr>
          <w:ilvl w:val="0"/>
          <w:numId w:val="69"/>
        </w:numPr>
        <w:contextualSpacing/>
        <w:rPr>
          <w:rFonts w:ascii="Arial" w:eastAsia="Calibri" w:hAnsi="Arial" w:cs="Arial"/>
        </w:rPr>
      </w:pPr>
      <w:r w:rsidRPr="006E0FDB">
        <w:rPr>
          <w:rFonts w:ascii="Arial" w:eastAsia="Calibri" w:hAnsi="Arial" w:cs="Arial"/>
        </w:rPr>
        <w:t>Bishopswood</w:t>
      </w:r>
    </w:p>
    <w:p w14:paraId="224C1513" w14:textId="77777777" w:rsidR="006E0FDB" w:rsidRPr="006E0FDB" w:rsidRDefault="006E0FDB" w:rsidP="006E0FDB">
      <w:pPr>
        <w:ind w:left="709" w:hanging="709"/>
        <w:rPr>
          <w:rFonts w:ascii="Arial" w:eastAsia="Calibri" w:hAnsi="Arial" w:cs="Arial"/>
          <w:color w:val="FF0000"/>
        </w:rPr>
      </w:pPr>
    </w:p>
    <w:p w14:paraId="5BD12E6D" w14:textId="15AA7D09" w:rsidR="006E0FDB" w:rsidRPr="006E0FDB" w:rsidRDefault="006E0FDB" w:rsidP="00D4693B">
      <w:pPr>
        <w:pStyle w:val="Heading2"/>
      </w:pPr>
      <w:r w:rsidRPr="006E0FDB">
        <w:t>A deprivation allocation totalling approximately £100k is divided between schools on the basis of the latest available FSM Ever6 pupil numbers from the DfE, the same data used to allocate the Deprivation related element of Pupil Premium. This results in an allocation for 202</w:t>
      </w:r>
      <w:r w:rsidR="00E70CC0">
        <w:t>4</w:t>
      </w:r>
      <w:r w:rsidRPr="006E0FDB">
        <w:t>-2</w:t>
      </w:r>
      <w:r w:rsidR="00E70CC0">
        <w:t>5</w:t>
      </w:r>
      <w:r w:rsidRPr="006E0FDB">
        <w:t xml:space="preserve"> of approximately </w:t>
      </w:r>
      <w:r w:rsidRPr="0060472E">
        <w:t>£</w:t>
      </w:r>
      <w:r w:rsidR="0060472E" w:rsidRPr="0060472E">
        <w:t>225</w:t>
      </w:r>
      <w:r w:rsidRPr="0060472E">
        <w:t xml:space="preserve"> per FSM Ever6 pupil, based on June 202</w:t>
      </w:r>
      <w:r w:rsidR="00E70CC0" w:rsidRPr="0060472E">
        <w:t>3</w:t>
      </w:r>
      <w:r w:rsidRPr="0060472E">
        <w:t xml:space="preserve"> pupil data.</w:t>
      </w:r>
    </w:p>
    <w:p w14:paraId="23CA9581" w14:textId="488B91C5" w:rsidR="006E0FDB" w:rsidRPr="006E0FDB" w:rsidRDefault="006E0FDB" w:rsidP="00D4693B">
      <w:pPr>
        <w:pStyle w:val="Heading2"/>
      </w:pPr>
      <w:r w:rsidRPr="006E0FDB">
        <w:t>Minimum Funding Guarantee (MFG) protection has been calculated at the DfE suggested rate of 3% over 2 years, based on a like-for-like comparison with a special school’s overall budget in 202</w:t>
      </w:r>
      <w:r w:rsidR="0060472E">
        <w:t>3</w:t>
      </w:r>
      <w:r w:rsidRPr="006E0FDB">
        <w:t xml:space="preserve"> to 202</w:t>
      </w:r>
      <w:r w:rsidR="0060472E">
        <w:t>4</w:t>
      </w:r>
      <w:r w:rsidRPr="006E0FDB">
        <w:t>.</w:t>
      </w:r>
    </w:p>
    <w:p w14:paraId="10C84010" w14:textId="2D6401B1" w:rsidR="006E0FDB" w:rsidRPr="006E0FDB" w:rsidRDefault="006E0FDB" w:rsidP="00D4693B">
      <w:pPr>
        <w:pStyle w:val="Heading2"/>
      </w:pPr>
      <w:r w:rsidRPr="006E0FDB">
        <w:t xml:space="preserve">A small allocation continues to be made in the modelling for hydrotherapy pools. This follows from earlier work by special school headteachers and their recommendation that this should be recognised as an unusual cost. Allocations are made to those schools that have a pool to maintain based on the surface area / volume of the facility at the school. Allocations are made to the following schools: Frank Wise, Springfield, Bardwell and Kingfisher. Information available indicates that the Kingfisher pool is approximately double the size of the pools at the other three schools and therefore the allocation to Kingfisher (£13,000) is twice that of the amount allocated to the other schools (£6,500). Headteachers had previously agreed that the smaller hydrotherapy pool at Bishopswood should also be included and £1,000 is therefore again allocated to that school in the modelling. </w:t>
      </w:r>
    </w:p>
    <w:p w14:paraId="7117C550" w14:textId="70A1B5F2" w:rsidR="006E0FDB" w:rsidRPr="006E0FDB" w:rsidRDefault="006E0FDB" w:rsidP="00D4693B">
      <w:pPr>
        <w:pStyle w:val="Heading2"/>
      </w:pPr>
      <w:r w:rsidRPr="006E0FDB">
        <w:t>The process for dealing – agreeing and transferring any additional funding - with pupil numbers that differ from initial top up estimates will continue as in previous years. An initial prudent and agreed estimate is made of the number of Oxfordshire pupils in each special school and academy for 202</w:t>
      </w:r>
      <w:r w:rsidR="0060472E">
        <w:t>4</w:t>
      </w:r>
      <w:r w:rsidRPr="006E0FDB">
        <w:t>-2</w:t>
      </w:r>
      <w:r w:rsidR="0060472E">
        <w:t>5</w:t>
      </w:r>
      <w:r w:rsidRPr="006E0FDB">
        <w:t xml:space="preserve"> and planned regular top up payments for the financial year will be based on these numbers. Top-up funding being passed to institutions at the start of each month for maintained special schools and mid-month for academies, aligned with the allocation of actual cash to the local authority’s bank account from central government. If the actual number of Oxfordshire children on roll exceeds those commissioned, then Oxfordshire will make funding available from the month in which the pupil starts at the special school or academy. Funding for these latter pupils will be passed separately to institutions and will be in accordance with agreed additional allocations protocol. </w:t>
      </w:r>
    </w:p>
    <w:p w14:paraId="7897BDB1" w14:textId="06CDEC2B" w:rsidR="006E0FDB" w:rsidRPr="006E0FDB" w:rsidRDefault="006E0FDB" w:rsidP="00D4693B">
      <w:pPr>
        <w:pStyle w:val="Heading2"/>
      </w:pPr>
      <w:r w:rsidRPr="006E0FDB">
        <w:t xml:space="preserve">Charging and recovery of top-up and other applicable funding relating to places commissioned by other local authorities is the responsibility of the special school concerned as previously agreed with maintained special school headteachers. Academies or their Trust have this responsibility automatically. </w:t>
      </w:r>
    </w:p>
    <w:p w14:paraId="0FAA5293" w14:textId="24E9ECCA" w:rsidR="006E0FDB" w:rsidRDefault="006E0FDB" w:rsidP="00D4693B">
      <w:pPr>
        <w:pStyle w:val="Heading2"/>
      </w:pPr>
      <w:r w:rsidRPr="006E0FDB">
        <w:t xml:space="preserve">The special schools funding model provisionally allocates approximately £24.9m, as summarised below. </w:t>
      </w:r>
    </w:p>
    <w:p w14:paraId="5CD248F2" w14:textId="77777777" w:rsidR="00D4693B" w:rsidRDefault="00D4693B" w:rsidP="00D4693B">
      <w:pPr>
        <w:rPr>
          <w:rFonts w:eastAsia="Calibri"/>
        </w:rPr>
      </w:pPr>
    </w:p>
    <w:p w14:paraId="210D1235" w14:textId="77777777" w:rsidR="00D4693B" w:rsidRDefault="00D4693B" w:rsidP="00D4693B">
      <w:pPr>
        <w:rPr>
          <w:rFonts w:eastAsia="Calibri"/>
        </w:rPr>
      </w:pPr>
    </w:p>
    <w:p w14:paraId="0AFA9D2F" w14:textId="77777777" w:rsidR="00D4693B" w:rsidRDefault="00D4693B" w:rsidP="00D4693B">
      <w:pPr>
        <w:rPr>
          <w:rFonts w:eastAsia="Calibri"/>
        </w:rPr>
      </w:pPr>
    </w:p>
    <w:p w14:paraId="292D0701" w14:textId="77777777" w:rsidR="00D4693B" w:rsidRDefault="00D4693B" w:rsidP="00D4693B">
      <w:pPr>
        <w:rPr>
          <w:rFonts w:eastAsia="Calibri"/>
        </w:rPr>
      </w:pPr>
    </w:p>
    <w:p w14:paraId="282DBD3F" w14:textId="77777777" w:rsidR="00D4693B" w:rsidRDefault="00D4693B" w:rsidP="00D4693B">
      <w:pPr>
        <w:rPr>
          <w:rFonts w:eastAsia="Calibri"/>
        </w:rPr>
      </w:pPr>
    </w:p>
    <w:p w14:paraId="112680FC" w14:textId="77777777" w:rsidR="00D4693B" w:rsidRPr="00D4693B" w:rsidRDefault="00D4693B" w:rsidP="00D4693B">
      <w:pPr>
        <w:rPr>
          <w:rFonts w:eastAsia="Calibri"/>
        </w:rPr>
      </w:pPr>
    </w:p>
    <w:p w14:paraId="142E95F7" w14:textId="3D2DB994" w:rsidR="006E0FDB" w:rsidRPr="006E0FDB" w:rsidRDefault="006E0FDB" w:rsidP="00D4693B">
      <w:pPr>
        <w:pStyle w:val="Heading2"/>
      </w:pPr>
      <w:r w:rsidRPr="006E0FDB">
        <w:lastRenderedPageBreak/>
        <w:t xml:space="preserve">Funding Factors Percentage </w:t>
      </w:r>
    </w:p>
    <w:p w14:paraId="5A3BDFEC" w14:textId="006793A4" w:rsidR="006E0FDB" w:rsidRPr="006E0FDB" w:rsidRDefault="006E0FDB" w:rsidP="00D4693B">
      <w:pPr>
        <w:pStyle w:val="Default"/>
        <w:numPr>
          <w:ilvl w:val="0"/>
          <w:numId w:val="73"/>
        </w:numPr>
        <w:spacing w:after="120"/>
        <w:ind w:left="1276" w:hanging="567"/>
        <w:rPr>
          <w:color w:val="auto"/>
        </w:rPr>
      </w:pPr>
      <w:r w:rsidRPr="006E0FDB">
        <w:rPr>
          <w:color w:val="auto"/>
        </w:rPr>
        <w:t xml:space="preserve">Planned Places </w:t>
      </w:r>
      <w:r w:rsidR="00D4693B">
        <w:rPr>
          <w:color w:val="auto"/>
        </w:rPr>
        <w:tab/>
      </w:r>
      <w:r w:rsidR="00D4693B">
        <w:rPr>
          <w:color w:val="auto"/>
        </w:rPr>
        <w:tab/>
      </w:r>
      <w:r w:rsidR="00D4693B">
        <w:rPr>
          <w:color w:val="auto"/>
        </w:rPr>
        <w:tab/>
        <w:t xml:space="preserve">- </w:t>
      </w:r>
      <w:r w:rsidR="005E7C18">
        <w:rPr>
          <w:color w:val="auto"/>
        </w:rPr>
        <w:t>46.15</w:t>
      </w:r>
      <w:r w:rsidR="00D4693B">
        <w:rPr>
          <w:color w:val="auto"/>
        </w:rPr>
        <w:t>%</w:t>
      </w:r>
      <w:r w:rsidRPr="006E0FDB">
        <w:rPr>
          <w:color w:val="auto"/>
        </w:rPr>
        <w:t xml:space="preserve"> </w:t>
      </w:r>
    </w:p>
    <w:p w14:paraId="460A4D9B" w14:textId="2097BADE" w:rsidR="006E0FDB" w:rsidRPr="006E0FDB" w:rsidRDefault="006E0FDB" w:rsidP="00D4693B">
      <w:pPr>
        <w:pStyle w:val="Default"/>
        <w:numPr>
          <w:ilvl w:val="0"/>
          <w:numId w:val="73"/>
        </w:numPr>
        <w:spacing w:after="120"/>
        <w:ind w:left="1276" w:hanging="567"/>
        <w:rPr>
          <w:color w:val="auto"/>
        </w:rPr>
      </w:pPr>
      <w:r w:rsidRPr="006E0FDB">
        <w:rPr>
          <w:color w:val="auto"/>
        </w:rPr>
        <w:t xml:space="preserve">Place led top up funding </w:t>
      </w:r>
      <w:r w:rsidR="00D4693B">
        <w:rPr>
          <w:color w:val="auto"/>
        </w:rPr>
        <w:tab/>
      </w:r>
      <w:r w:rsidR="00D4693B">
        <w:rPr>
          <w:color w:val="auto"/>
        </w:rPr>
        <w:tab/>
        <w:t xml:space="preserve">- </w:t>
      </w:r>
      <w:r w:rsidR="005E7C18">
        <w:rPr>
          <w:color w:val="auto"/>
        </w:rPr>
        <w:t>37</w:t>
      </w:r>
      <w:r w:rsidR="006C7960">
        <w:rPr>
          <w:color w:val="auto"/>
        </w:rPr>
        <w:t>.</w:t>
      </w:r>
      <w:r w:rsidR="005E7C18">
        <w:rPr>
          <w:color w:val="auto"/>
        </w:rPr>
        <w:t>77</w:t>
      </w:r>
      <w:r w:rsidRPr="006E0FDB">
        <w:rPr>
          <w:color w:val="auto"/>
        </w:rPr>
        <w:t xml:space="preserve">% </w:t>
      </w:r>
    </w:p>
    <w:p w14:paraId="14500A3A" w14:textId="77E8AAA4" w:rsidR="006E0FDB" w:rsidRPr="006E0FDB" w:rsidRDefault="006E0FDB" w:rsidP="00D4693B">
      <w:pPr>
        <w:pStyle w:val="Default"/>
        <w:numPr>
          <w:ilvl w:val="0"/>
          <w:numId w:val="73"/>
        </w:numPr>
        <w:spacing w:after="120"/>
        <w:ind w:left="1276" w:hanging="567"/>
        <w:rPr>
          <w:color w:val="auto"/>
        </w:rPr>
      </w:pPr>
      <w:r w:rsidRPr="006E0FDB">
        <w:rPr>
          <w:color w:val="auto"/>
        </w:rPr>
        <w:t xml:space="preserve">Bonus top up funding     </w:t>
      </w:r>
      <w:r w:rsidR="00D4693B">
        <w:rPr>
          <w:color w:val="auto"/>
        </w:rPr>
        <w:tab/>
      </w:r>
      <w:r w:rsidR="00D4693B">
        <w:rPr>
          <w:color w:val="auto"/>
        </w:rPr>
        <w:tab/>
        <w:t>-</w:t>
      </w:r>
      <w:r w:rsidRPr="006E0FDB">
        <w:rPr>
          <w:color w:val="auto"/>
        </w:rPr>
        <w:t xml:space="preserve"> 5.7</w:t>
      </w:r>
      <w:r w:rsidR="006C7960">
        <w:rPr>
          <w:color w:val="auto"/>
        </w:rPr>
        <w:t>2</w:t>
      </w:r>
      <w:r w:rsidRPr="006E0FDB">
        <w:rPr>
          <w:color w:val="auto"/>
        </w:rPr>
        <w:t>%</w:t>
      </w:r>
    </w:p>
    <w:p w14:paraId="5DA52185" w14:textId="7E30513B" w:rsidR="006E0FDB" w:rsidRPr="006E0FDB" w:rsidRDefault="006E0FDB" w:rsidP="00D4693B">
      <w:pPr>
        <w:pStyle w:val="Default"/>
        <w:numPr>
          <w:ilvl w:val="0"/>
          <w:numId w:val="73"/>
        </w:numPr>
        <w:spacing w:after="120"/>
        <w:ind w:left="1276" w:hanging="567"/>
        <w:rPr>
          <w:color w:val="auto"/>
        </w:rPr>
      </w:pPr>
      <w:r w:rsidRPr="006E0FDB">
        <w:rPr>
          <w:color w:val="auto"/>
        </w:rPr>
        <w:t xml:space="preserve">Additional High Needs Funding </w:t>
      </w:r>
      <w:r w:rsidR="00D4693B">
        <w:rPr>
          <w:color w:val="auto"/>
        </w:rPr>
        <w:tab/>
        <w:t xml:space="preserve">- </w:t>
      </w:r>
      <w:r w:rsidRPr="006E0FDB">
        <w:rPr>
          <w:color w:val="auto"/>
        </w:rPr>
        <w:t>2.96%</w:t>
      </w:r>
    </w:p>
    <w:p w14:paraId="2303CBFA" w14:textId="5B02BEBA" w:rsidR="006E0FDB" w:rsidRPr="006E0FDB" w:rsidRDefault="006E0FDB" w:rsidP="00D4693B">
      <w:pPr>
        <w:pStyle w:val="Default"/>
        <w:spacing w:after="120"/>
        <w:ind w:firstLine="709"/>
        <w:rPr>
          <w:b/>
          <w:bCs/>
          <w:color w:val="auto"/>
        </w:rPr>
      </w:pPr>
      <w:r w:rsidRPr="007B2DB0">
        <w:rPr>
          <w:b/>
          <w:bCs/>
          <w:color w:val="auto"/>
          <w:highlight w:val="green"/>
        </w:rPr>
        <w:t xml:space="preserve">Place related total </w:t>
      </w:r>
      <w:r w:rsidR="00D4693B" w:rsidRPr="007B2DB0">
        <w:rPr>
          <w:b/>
          <w:bCs/>
          <w:color w:val="auto"/>
          <w:highlight w:val="green"/>
        </w:rPr>
        <w:tab/>
      </w:r>
      <w:r w:rsidR="00D4693B" w:rsidRPr="007B2DB0">
        <w:rPr>
          <w:b/>
          <w:bCs/>
          <w:color w:val="auto"/>
          <w:highlight w:val="green"/>
        </w:rPr>
        <w:tab/>
      </w:r>
      <w:r w:rsidR="00D4693B" w:rsidRPr="007B2DB0">
        <w:rPr>
          <w:b/>
          <w:bCs/>
          <w:color w:val="auto"/>
          <w:highlight w:val="green"/>
        </w:rPr>
        <w:tab/>
      </w:r>
      <w:r w:rsidR="00D4693B" w:rsidRPr="007B2DB0">
        <w:rPr>
          <w:b/>
          <w:bCs/>
          <w:color w:val="auto"/>
          <w:highlight w:val="green"/>
        </w:rPr>
        <w:tab/>
        <w:t xml:space="preserve">- </w:t>
      </w:r>
      <w:r w:rsidRPr="007B2DB0">
        <w:rPr>
          <w:b/>
          <w:bCs/>
          <w:color w:val="auto"/>
          <w:highlight w:val="green"/>
        </w:rPr>
        <w:t>92.6</w:t>
      </w:r>
      <w:r w:rsidR="006C7960" w:rsidRPr="007B2DB0">
        <w:rPr>
          <w:b/>
          <w:bCs/>
          <w:color w:val="auto"/>
          <w:highlight w:val="green"/>
        </w:rPr>
        <w:t>0</w:t>
      </w:r>
      <w:r w:rsidRPr="007B2DB0">
        <w:rPr>
          <w:b/>
          <w:bCs/>
          <w:color w:val="auto"/>
          <w:highlight w:val="green"/>
        </w:rPr>
        <w:t>%</w:t>
      </w:r>
    </w:p>
    <w:p w14:paraId="63B4F56F" w14:textId="77777777" w:rsidR="006E0FDB" w:rsidRPr="007B2DB0" w:rsidRDefault="006E0FDB" w:rsidP="00D4693B">
      <w:pPr>
        <w:pStyle w:val="Default"/>
        <w:spacing w:after="120"/>
        <w:ind w:firstLine="709"/>
        <w:rPr>
          <w:b/>
          <w:bCs/>
          <w:color w:val="auto"/>
        </w:rPr>
      </w:pPr>
      <w:r w:rsidRPr="007B2DB0">
        <w:rPr>
          <w:b/>
          <w:bCs/>
          <w:color w:val="auto"/>
        </w:rPr>
        <w:t xml:space="preserve">Specific funding factors </w:t>
      </w:r>
    </w:p>
    <w:p w14:paraId="30388555" w14:textId="102621DD" w:rsidR="006E0FDB" w:rsidRPr="006E0FDB" w:rsidRDefault="006E0FDB" w:rsidP="007B2DB0">
      <w:pPr>
        <w:pStyle w:val="Default"/>
        <w:numPr>
          <w:ilvl w:val="0"/>
          <w:numId w:val="73"/>
        </w:numPr>
        <w:spacing w:after="120"/>
        <w:ind w:hanging="720"/>
        <w:rPr>
          <w:color w:val="auto"/>
        </w:rPr>
      </w:pPr>
      <w:r w:rsidRPr="006E0FDB">
        <w:rPr>
          <w:color w:val="auto"/>
        </w:rPr>
        <w:t xml:space="preserve">Split Sites </w:t>
      </w:r>
      <w:r w:rsidR="007B2DB0">
        <w:rPr>
          <w:color w:val="auto"/>
        </w:rPr>
        <w:tab/>
      </w:r>
      <w:r w:rsidR="007B2DB0">
        <w:rPr>
          <w:color w:val="auto"/>
        </w:rPr>
        <w:tab/>
      </w:r>
      <w:r w:rsidR="007B2DB0">
        <w:rPr>
          <w:color w:val="auto"/>
        </w:rPr>
        <w:tab/>
      </w:r>
      <w:r w:rsidR="007B2DB0">
        <w:rPr>
          <w:color w:val="auto"/>
        </w:rPr>
        <w:tab/>
        <w:t xml:space="preserve">- </w:t>
      </w:r>
      <w:r w:rsidRPr="006E0FDB">
        <w:rPr>
          <w:color w:val="auto"/>
        </w:rPr>
        <w:t xml:space="preserve">0.39% </w:t>
      </w:r>
    </w:p>
    <w:p w14:paraId="035FD7D6" w14:textId="65D4F04E" w:rsidR="006E0FDB" w:rsidRPr="006E0FDB" w:rsidRDefault="006E0FDB" w:rsidP="007B2DB0">
      <w:pPr>
        <w:pStyle w:val="Default"/>
        <w:numPr>
          <w:ilvl w:val="0"/>
          <w:numId w:val="73"/>
        </w:numPr>
        <w:spacing w:after="120"/>
        <w:ind w:hanging="720"/>
        <w:rPr>
          <w:color w:val="auto"/>
        </w:rPr>
      </w:pPr>
      <w:r w:rsidRPr="006E0FDB">
        <w:rPr>
          <w:color w:val="auto"/>
        </w:rPr>
        <w:t xml:space="preserve">Residential </w:t>
      </w:r>
      <w:r w:rsidR="007B2DB0">
        <w:rPr>
          <w:color w:val="auto"/>
        </w:rPr>
        <w:tab/>
      </w:r>
      <w:r w:rsidR="007B2DB0">
        <w:rPr>
          <w:color w:val="auto"/>
        </w:rPr>
        <w:tab/>
      </w:r>
      <w:r w:rsidR="007B2DB0">
        <w:rPr>
          <w:color w:val="auto"/>
        </w:rPr>
        <w:tab/>
      </w:r>
      <w:r w:rsidR="007B2DB0">
        <w:rPr>
          <w:color w:val="auto"/>
        </w:rPr>
        <w:tab/>
        <w:t xml:space="preserve">- </w:t>
      </w:r>
      <w:r w:rsidRPr="006E0FDB">
        <w:rPr>
          <w:color w:val="auto"/>
        </w:rPr>
        <w:t xml:space="preserve">0.78% </w:t>
      </w:r>
    </w:p>
    <w:p w14:paraId="0EE7EAF0" w14:textId="2DB81C9C" w:rsidR="006E0FDB" w:rsidRPr="006E0FDB" w:rsidRDefault="006E0FDB" w:rsidP="007B2DB0">
      <w:pPr>
        <w:pStyle w:val="Default"/>
        <w:numPr>
          <w:ilvl w:val="0"/>
          <w:numId w:val="73"/>
        </w:numPr>
        <w:spacing w:after="120"/>
        <w:ind w:hanging="720"/>
        <w:rPr>
          <w:color w:val="auto"/>
        </w:rPr>
      </w:pPr>
      <w:r w:rsidRPr="006E0FDB">
        <w:rPr>
          <w:color w:val="auto"/>
        </w:rPr>
        <w:t xml:space="preserve">Hydrotherapy Pools </w:t>
      </w:r>
      <w:r w:rsidR="007B2DB0">
        <w:rPr>
          <w:color w:val="auto"/>
        </w:rPr>
        <w:tab/>
      </w:r>
      <w:r w:rsidR="007B2DB0">
        <w:rPr>
          <w:color w:val="auto"/>
        </w:rPr>
        <w:tab/>
        <w:t xml:space="preserve">- </w:t>
      </w:r>
      <w:r w:rsidRPr="006E0FDB">
        <w:rPr>
          <w:color w:val="auto"/>
        </w:rPr>
        <w:t xml:space="preserve">0.12% </w:t>
      </w:r>
    </w:p>
    <w:p w14:paraId="722CA385" w14:textId="42D7BFD6" w:rsidR="006E0FDB" w:rsidRPr="006E0FDB" w:rsidRDefault="006E0FDB" w:rsidP="007B2DB0">
      <w:pPr>
        <w:pStyle w:val="Default"/>
        <w:numPr>
          <w:ilvl w:val="0"/>
          <w:numId w:val="73"/>
        </w:numPr>
        <w:spacing w:after="120"/>
        <w:ind w:hanging="720"/>
        <w:rPr>
          <w:color w:val="auto"/>
        </w:rPr>
      </w:pPr>
      <w:r w:rsidRPr="006E0FDB">
        <w:rPr>
          <w:color w:val="auto"/>
        </w:rPr>
        <w:t xml:space="preserve">Premises </w:t>
      </w:r>
      <w:r w:rsidR="007B2DB0">
        <w:rPr>
          <w:color w:val="auto"/>
        </w:rPr>
        <w:tab/>
      </w:r>
      <w:r w:rsidR="007B2DB0">
        <w:rPr>
          <w:color w:val="auto"/>
        </w:rPr>
        <w:tab/>
      </w:r>
      <w:r w:rsidR="007B2DB0">
        <w:rPr>
          <w:color w:val="auto"/>
        </w:rPr>
        <w:tab/>
      </w:r>
      <w:r w:rsidR="007B2DB0">
        <w:rPr>
          <w:color w:val="auto"/>
        </w:rPr>
        <w:tab/>
        <w:t xml:space="preserve">- </w:t>
      </w:r>
      <w:r w:rsidRPr="006E0FDB">
        <w:rPr>
          <w:color w:val="auto"/>
        </w:rPr>
        <w:t>3.7</w:t>
      </w:r>
      <w:r w:rsidR="005E7C18">
        <w:rPr>
          <w:color w:val="auto"/>
        </w:rPr>
        <w:t>4</w:t>
      </w:r>
      <w:r w:rsidRPr="006E0FDB">
        <w:rPr>
          <w:color w:val="auto"/>
        </w:rPr>
        <w:t xml:space="preserve">% </w:t>
      </w:r>
    </w:p>
    <w:p w14:paraId="358A1735" w14:textId="5961FE9C" w:rsidR="006E0FDB" w:rsidRPr="006E0FDB" w:rsidRDefault="006E0FDB" w:rsidP="007B2DB0">
      <w:pPr>
        <w:pStyle w:val="Default"/>
        <w:numPr>
          <w:ilvl w:val="0"/>
          <w:numId w:val="73"/>
        </w:numPr>
        <w:spacing w:after="120"/>
        <w:ind w:hanging="720"/>
        <w:rPr>
          <w:color w:val="auto"/>
        </w:rPr>
      </w:pPr>
      <w:r w:rsidRPr="006E0FDB">
        <w:rPr>
          <w:color w:val="auto"/>
        </w:rPr>
        <w:t xml:space="preserve">Deprivation </w:t>
      </w:r>
      <w:r w:rsidR="007B2DB0">
        <w:rPr>
          <w:color w:val="auto"/>
        </w:rPr>
        <w:tab/>
      </w:r>
      <w:r w:rsidR="007B2DB0">
        <w:rPr>
          <w:color w:val="auto"/>
        </w:rPr>
        <w:tab/>
      </w:r>
      <w:r w:rsidR="007B2DB0">
        <w:rPr>
          <w:color w:val="auto"/>
        </w:rPr>
        <w:tab/>
      </w:r>
      <w:r w:rsidR="007B2DB0">
        <w:rPr>
          <w:color w:val="auto"/>
        </w:rPr>
        <w:tab/>
        <w:t xml:space="preserve">- </w:t>
      </w:r>
      <w:r w:rsidRPr="006E0FDB">
        <w:rPr>
          <w:color w:val="auto"/>
        </w:rPr>
        <w:t xml:space="preserve">0.35% </w:t>
      </w:r>
    </w:p>
    <w:p w14:paraId="0DA929B1" w14:textId="4B1553B6" w:rsidR="006E0FDB" w:rsidRPr="006E0FDB" w:rsidRDefault="006E0FDB" w:rsidP="007B2DB0">
      <w:pPr>
        <w:pStyle w:val="Default"/>
        <w:numPr>
          <w:ilvl w:val="0"/>
          <w:numId w:val="73"/>
        </w:numPr>
        <w:spacing w:after="120"/>
        <w:ind w:hanging="720"/>
        <w:rPr>
          <w:color w:val="auto"/>
        </w:rPr>
      </w:pPr>
      <w:r w:rsidRPr="006E0FDB">
        <w:rPr>
          <w:color w:val="auto"/>
        </w:rPr>
        <w:t xml:space="preserve">MFG </w:t>
      </w:r>
      <w:r w:rsidR="007B2DB0">
        <w:rPr>
          <w:color w:val="auto"/>
        </w:rPr>
        <w:tab/>
      </w:r>
      <w:r w:rsidR="007B2DB0">
        <w:rPr>
          <w:color w:val="auto"/>
        </w:rPr>
        <w:tab/>
      </w:r>
      <w:r w:rsidR="007B2DB0">
        <w:rPr>
          <w:color w:val="auto"/>
        </w:rPr>
        <w:tab/>
      </w:r>
      <w:r w:rsidR="007B2DB0">
        <w:rPr>
          <w:color w:val="auto"/>
        </w:rPr>
        <w:tab/>
      </w:r>
      <w:r w:rsidR="007B2DB0">
        <w:rPr>
          <w:color w:val="auto"/>
        </w:rPr>
        <w:tab/>
        <w:t xml:space="preserve">- </w:t>
      </w:r>
      <w:r w:rsidRPr="006E0FDB">
        <w:rPr>
          <w:color w:val="auto"/>
        </w:rPr>
        <w:t>2.0</w:t>
      </w:r>
      <w:r w:rsidR="005E7C18">
        <w:rPr>
          <w:color w:val="auto"/>
        </w:rPr>
        <w:t>2</w:t>
      </w:r>
      <w:r w:rsidRPr="006E0FDB">
        <w:rPr>
          <w:color w:val="auto"/>
        </w:rPr>
        <w:t xml:space="preserve">% </w:t>
      </w:r>
    </w:p>
    <w:p w14:paraId="2DB1322F" w14:textId="7710FA6D" w:rsidR="006E0FDB" w:rsidRPr="006E0FDB" w:rsidRDefault="006E0FDB" w:rsidP="00D4693B">
      <w:pPr>
        <w:pStyle w:val="Default"/>
        <w:spacing w:after="120"/>
        <w:ind w:firstLine="709"/>
        <w:rPr>
          <w:color w:val="auto"/>
        </w:rPr>
      </w:pPr>
      <w:r w:rsidRPr="007B2DB0">
        <w:rPr>
          <w:b/>
          <w:bCs/>
          <w:color w:val="auto"/>
          <w:highlight w:val="green"/>
        </w:rPr>
        <w:t xml:space="preserve">TOTAL </w:t>
      </w:r>
      <w:r w:rsidR="007B2DB0" w:rsidRPr="007B2DB0">
        <w:rPr>
          <w:b/>
          <w:bCs/>
          <w:color w:val="auto"/>
          <w:highlight w:val="green"/>
        </w:rPr>
        <w:tab/>
      </w:r>
      <w:r w:rsidR="007B2DB0" w:rsidRPr="007B2DB0">
        <w:rPr>
          <w:b/>
          <w:bCs/>
          <w:color w:val="auto"/>
          <w:highlight w:val="green"/>
        </w:rPr>
        <w:tab/>
      </w:r>
      <w:r w:rsidR="007B2DB0" w:rsidRPr="007B2DB0">
        <w:rPr>
          <w:b/>
          <w:bCs/>
          <w:color w:val="auto"/>
          <w:highlight w:val="green"/>
        </w:rPr>
        <w:tab/>
      </w:r>
      <w:r w:rsidR="007B2DB0" w:rsidRPr="007B2DB0">
        <w:rPr>
          <w:b/>
          <w:bCs/>
          <w:color w:val="auto"/>
          <w:highlight w:val="green"/>
        </w:rPr>
        <w:tab/>
      </w:r>
      <w:r w:rsidR="007B2DB0" w:rsidRPr="007B2DB0">
        <w:rPr>
          <w:b/>
          <w:bCs/>
          <w:color w:val="auto"/>
          <w:highlight w:val="green"/>
        </w:rPr>
        <w:tab/>
        <w:t xml:space="preserve">- </w:t>
      </w:r>
      <w:r w:rsidRPr="007B2DB0">
        <w:rPr>
          <w:b/>
          <w:bCs/>
          <w:color w:val="auto"/>
          <w:highlight w:val="green"/>
        </w:rPr>
        <w:t>100.0%</w:t>
      </w:r>
      <w:r w:rsidRPr="006E0FDB">
        <w:rPr>
          <w:b/>
          <w:bCs/>
          <w:color w:val="auto"/>
        </w:rPr>
        <w:t xml:space="preserve"> </w:t>
      </w:r>
    </w:p>
    <w:p w14:paraId="01DF0879" w14:textId="77777777" w:rsidR="006E0FDB" w:rsidRPr="006E0FDB" w:rsidRDefault="006E0FDB" w:rsidP="006E0FDB">
      <w:pPr>
        <w:rPr>
          <w:rFonts w:ascii="Arial" w:hAnsi="Arial" w:cs="Arial"/>
        </w:rPr>
      </w:pPr>
    </w:p>
    <w:p w14:paraId="6454C3CD" w14:textId="0100F7D6" w:rsidR="006E0FDB" w:rsidRPr="006E0FDB" w:rsidRDefault="006E0FDB" w:rsidP="007B2DB0">
      <w:pPr>
        <w:pStyle w:val="Heading2"/>
      </w:pPr>
      <w:r w:rsidRPr="006E0FDB">
        <w:t xml:space="preserve">Overall special school budget model has initially increased by </w:t>
      </w:r>
      <w:r w:rsidR="005E7C18">
        <w:t>6.1</w:t>
      </w:r>
      <w:r w:rsidRPr="006E0FDB">
        <w:t xml:space="preserve">%. </w:t>
      </w:r>
    </w:p>
    <w:p w14:paraId="370AB8D1" w14:textId="77777777" w:rsidR="006E0FDB" w:rsidRDefault="006E0FDB" w:rsidP="00A50F25">
      <w:pPr>
        <w:rPr>
          <w:rFonts w:ascii="Arial" w:eastAsia="Calibri" w:hAnsi="Arial" w:cs="Arial"/>
          <w:b/>
          <w:bCs/>
          <w:u w:val="single"/>
        </w:rPr>
      </w:pPr>
    </w:p>
    <w:p w14:paraId="706A586D" w14:textId="77777777" w:rsidR="006E0FDB" w:rsidRDefault="006E0FDB" w:rsidP="00A50F25">
      <w:pPr>
        <w:rPr>
          <w:rFonts w:ascii="Arial" w:eastAsia="Calibri" w:hAnsi="Arial" w:cs="Arial"/>
          <w:b/>
          <w:bCs/>
          <w:u w:val="single"/>
        </w:rPr>
      </w:pPr>
    </w:p>
    <w:p w14:paraId="3C67548D" w14:textId="77777777" w:rsidR="006E0FDB" w:rsidRDefault="006E0FDB" w:rsidP="00A50F25">
      <w:pPr>
        <w:rPr>
          <w:rFonts w:ascii="Arial" w:eastAsia="Calibri" w:hAnsi="Arial" w:cs="Arial"/>
          <w:b/>
          <w:bCs/>
          <w:u w:val="single"/>
        </w:rPr>
      </w:pPr>
    </w:p>
    <w:p w14:paraId="614D5753" w14:textId="77777777" w:rsidR="006E0FDB" w:rsidRDefault="006E0FDB" w:rsidP="00A50F25">
      <w:pPr>
        <w:rPr>
          <w:rFonts w:ascii="Arial" w:eastAsia="Calibri" w:hAnsi="Arial" w:cs="Arial"/>
          <w:b/>
          <w:bCs/>
          <w:u w:val="single"/>
        </w:rPr>
      </w:pPr>
    </w:p>
    <w:p w14:paraId="1BD959B3" w14:textId="77777777" w:rsidR="006E0FDB" w:rsidRDefault="006E0FDB" w:rsidP="00A50F25">
      <w:pPr>
        <w:rPr>
          <w:rFonts w:ascii="Arial" w:eastAsia="Calibri" w:hAnsi="Arial" w:cs="Arial"/>
          <w:b/>
          <w:bCs/>
          <w:u w:val="single"/>
        </w:rPr>
      </w:pPr>
    </w:p>
    <w:p w14:paraId="1256EE8E" w14:textId="77777777" w:rsidR="006E0FDB" w:rsidRDefault="006E0FDB" w:rsidP="00A50F25">
      <w:pPr>
        <w:rPr>
          <w:rFonts w:ascii="Arial" w:eastAsia="Calibri" w:hAnsi="Arial" w:cs="Arial"/>
          <w:b/>
          <w:bCs/>
          <w:u w:val="single"/>
        </w:rPr>
      </w:pPr>
    </w:p>
    <w:p w14:paraId="6E6C9B5B" w14:textId="77777777" w:rsidR="006E0FDB" w:rsidRDefault="006E0FDB" w:rsidP="00A50F25">
      <w:pPr>
        <w:rPr>
          <w:rFonts w:ascii="Arial" w:eastAsia="Calibri" w:hAnsi="Arial" w:cs="Arial"/>
          <w:b/>
          <w:bCs/>
          <w:u w:val="single"/>
        </w:rPr>
        <w:sectPr w:rsidR="006E0FDB" w:rsidSect="00D4693B">
          <w:pgSz w:w="11907" w:h="16840" w:code="9"/>
          <w:pgMar w:top="993" w:right="1275" w:bottom="1135" w:left="1276" w:header="275" w:footer="76" w:gutter="0"/>
          <w:cols w:space="708"/>
          <w:docGrid w:linePitch="360"/>
        </w:sectPr>
      </w:pPr>
    </w:p>
    <w:p w14:paraId="12782EE2" w14:textId="7B18344F" w:rsidR="006050CA" w:rsidRPr="002107F6" w:rsidRDefault="002107F6" w:rsidP="00A50F25">
      <w:pPr>
        <w:rPr>
          <w:rFonts w:ascii="Arial" w:eastAsia="Calibri" w:hAnsi="Arial" w:cs="Arial"/>
          <w:b/>
          <w:bCs/>
          <w:u w:val="single"/>
        </w:rPr>
      </w:pPr>
      <w:r>
        <w:rPr>
          <w:rFonts w:ascii="Arial" w:eastAsia="Calibri" w:hAnsi="Arial" w:cs="Arial"/>
          <w:b/>
          <w:bCs/>
          <w:u w:val="single"/>
        </w:rPr>
        <w:lastRenderedPageBreak/>
        <w:t>Appendix</w:t>
      </w:r>
      <w:r w:rsidRPr="002107F6">
        <w:rPr>
          <w:rFonts w:ascii="Arial" w:eastAsia="Calibri" w:hAnsi="Arial" w:cs="Arial"/>
          <w:b/>
          <w:bCs/>
          <w:u w:val="single"/>
        </w:rPr>
        <w:t xml:space="preserve"> B: High Needs</w:t>
      </w:r>
      <w:r>
        <w:rPr>
          <w:rFonts w:ascii="Arial" w:eastAsia="Calibri" w:hAnsi="Arial" w:cs="Arial"/>
          <w:b/>
          <w:bCs/>
          <w:u w:val="single"/>
        </w:rPr>
        <w:t xml:space="preserve"> Budget</w:t>
      </w:r>
      <w:r w:rsidRPr="002107F6">
        <w:rPr>
          <w:rFonts w:ascii="Arial" w:eastAsia="Calibri" w:hAnsi="Arial" w:cs="Arial"/>
          <w:b/>
          <w:bCs/>
          <w:u w:val="single"/>
        </w:rPr>
        <w:t xml:space="preserve"> – Medium Term Financial Strategy 2024-25 to 2026-27</w:t>
      </w:r>
    </w:p>
    <w:p w14:paraId="27AB47E1" w14:textId="77777777" w:rsidR="006050CA" w:rsidRDefault="006050CA" w:rsidP="00A50F25">
      <w:pPr>
        <w:rPr>
          <w:rFonts w:ascii="Arial" w:eastAsia="Calibri" w:hAnsi="Arial" w:cs="Arial"/>
        </w:rPr>
      </w:pPr>
    </w:p>
    <w:p w14:paraId="70F149EB" w14:textId="4078AEA1" w:rsidR="001F681F" w:rsidRPr="004C7C11" w:rsidRDefault="00932A2F" w:rsidP="00A50F25">
      <w:pPr>
        <w:rPr>
          <w:rFonts w:ascii="Arial" w:eastAsia="Calibri" w:hAnsi="Arial" w:cs="Arial"/>
        </w:rPr>
      </w:pPr>
      <w:r>
        <w:rPr>
          <w:rFonts w:ascii="Arial" w:eastAsia="Calibri" w:hAnsi="Arial" w:cs="Arial"/>
          <w:noProof/>
        </w:rPr>
        <w:drawing>
          <wp:inline distT="0" distB="0" distL="0" distR="0" wp14:anchorId="23FC87F3" wp14:editId="35B78DCD">
            <wp:extent cx="6297295" cy="7410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295" cy="7410450"/>
                    </a:xfrm>
                    <a:prstGeom prst="rect">
                      <a:avLst/>
                    </a:prstGeom>
                    <a:noFill/>
                    <a:ln>
                      <a:noFill/>
                    </a:ln>
                  </pic:spPr>
                </pic:pic>
              </a:graphicData>
            </a:graphic>
          </wp:inline>
        </w:drawing>
      </w:r>
    </w:p>
    <w:sectPr w:rsidR="001F681F" w:rsidRPr="004C7C11" w:rsidSect="00791BCB">
      <w:pgSz w:w="11907" w:h="16840" w:code="9"/>
      <w:pgMar w:top="993" w:right="708" w:bottom="1135" w:left="1276" w:header="275"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F3A4" w14:textId="77777777" w:rsidR="00F546F9" w:rsidRDefault="00F546F9">
      <w:r>
        <w:separator/>
      </w:r>
    </w:p>
  </w:endnote>
  <w:endnote w:type="continuationSeparator" w:id="0">
    <w:p w14:paraId="66114B03" w14:textId="77777777" w:rsidR="00F546F9" w:rsidRDefault="00F5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0069" w14:textId="77777777" w:rsidR="00F546F9" w:rsidRDefault="00F546F9">
      <w:r>
        <w:separator/>
      </w:r>
    </w:p>
  </w:footnote>
  <w:footnote w:type="continuationSeparator" w:id="0">
    <w:p w14:paraId="641659F8" w14:textId="77777777" w:rsidR="00F546F9" w:rsidRDefault="00F54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C8C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F0C68"/>
    <w:multiLevelType w:val="multilevel"/>
    <w:tmpl w:val="603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60568"/>
    <w:multiLevelType w:val="multilevel"/>
    <w:tmpl w:val="36B8B8C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3D53884"/>
    <w:multiLevelType w:val="multilevel"/>
    <w:tmpl w:val="5448C7DE"/>
    <w:lvl w:ilvl="0">
      <w:start w:val="5"/>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8353D"/>
    <w:multiLevelType w:val="multilevel"/>
    <w:tmpl w:val="338CCC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74498"/>
    <w:multiLevelType w:val="multilevel"/>
    <w:tmpl w:val="8496E62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2984" w:hanging="1800"/>
      </w:pPr>
      <w:rPr>
        <w:rFonts w:hint="default"/>
      </w:rPr>
    </w:lvl>
  </w:abstractNum>
  <w:abstractNum w:abstractNumId="6" w15:restartNumberingAfterBreak="0">
    <w:nsid w:val="10913477"/>
    <w:multiLevelType w:val="multilevel"/>
    <w:tmpl w:val="74FC702C"/>
    <w:lvl w:ilvl="0">
      <w:start w:val="6"/>
      <w:numFmt w:val="decimal"/>
      <w:lvlText w:val="%1."/>
      <w:lvlJc w:val="left"/>
      <w:pPr>
        <w:ind w:left="1069" w:hanging="360"/>
      </w:pPr>
      <w:rPr>
        <w:rFonts w:ascii="Arial" w:hAnsi="Arial" w:cs="Arial" w:hint="default"/>
        <w:b/>
        <w:sz w:val="28"/>
      </w:rPr>
    </w:lvl>
    <w:lvl w:ilvl="1">
      <w:start w:val="1"/>
      <w:numFmt w:val="decimal"/>
      <w:isLgl/>
      <w:lvlText w:val="%1.%2"/>
      <w:lvlJc w:val="left"/>
      <w:pPr>
        <w:ind w:left="1450" w:hanging="730"/>
      </w:pPr>
      <w:rPr>
        <w:rFonts w:hint="default"/>
      </w:rPr>
    </w:lvl>
    <w:lvl w:ilvl="2">
      <w:start w:val="1"/>
      <w:numFmt w:val="decimal"/>
      <w:isLgl/>
      <w:lvlText w:val="%1.%2.%3"/>
      <w:lvlJc w:val="left"/>
      <w:pPr>
        <w:ind w:left="1461" w:hanging="73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7" w15:restartNumberingAfterBreak="0">
    <w:nsid w:val="111F0858"/>
    <w:multiLevelType w:val="hybridMultilevel"/>
    <w:tmpl w:val="A20E69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2851B7D"/>
    <w:multiLevelType w:val="multilevel"/>
    <w:tmpl w:val="98CEAE18"/>
    <w:lvl w:ilvl="0">
      <w:start w:val="5"/>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13E726E5"/>
    <w:multiLevelType w:val="hybridMultilevel"/>
    <w:tmpl w:val="A3EAE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3D69C2"/>
    <w:multiLevelType w:val="hybridMultilevel"/>
    <w:tmpl w:val="FACAE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C11EB7"/>
    <w:multiLevelType w:val="hybridMultilevel"/>
    <w:tmpl w:val="B1386566"/>
    <w:lvl w:ilvl="0" w:tplc="E6B671E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83024E3"/>
    <w:multiLevelType w:val="hybridMultilevel"/>
    <w:tmpl w:val="AE1603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8A826DC"/>
    <w:multiLevelType w:val="multilevel"/>
    <w:tmpl w:val="1820C3E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0A0378"/>
    <w:multiLevelType w:val="hybridMultilevel"/>
    <w:tmpl w:val="57864C44"/>
    <w:lvl w:ilvl="0" w:tplc="CBE48A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1B425C78"/>
    <w:multiLevelType w:val="hybridMultilevel"/>
    <w:tmpl w:val="DFE87620"/>
    <w:lvl w:ilvl="0" w:tplc="08090001">
      <w:start w:val="1"/>
      <w:numFmt w:val="bullet"/>
      <w:lvlText w:val=""/>
      <w:lvlJc w:val="left"/>
      <w:pPr>
        <w:ind w:left="1569" w:hanging="360"/>
      </w:pPr>
      <w:rPr>
        <w:rFonts w:ascii="Symbol" w:hAnsi="Symbol" w:hint="default"/>
      </w:rPr>
    </w:lvl>
    <w:lvl w:ilvl="1" w:tplc="08090003">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6" w15:restartNumberingAfterBreak="0">
    <w:nsid w:val="1CFC31D5"/>
    <w:multiLevelType w:val="hybridMultilevel"/>
    <w:tmpl w:val="D8D02D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27C2EE5"/>
    <w:multiLevelType w:val="multilevel"/>
    <w:tmpl w:val="CA48CFE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3C2414"/>
    <w:multiLevelType w:val="hybridMultilevel"/>
    <w:tmpl w:val="B630F210"/>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C368CD"/>
    <w:multiLevelType w:val="hybridMultilevel"/>
    <w:tmpl w:val="5810DEF6"/>
    <w:lvl w:ilvl="0" w:tplc="EE248E3C">
      <w:start w:val="1"/>
      <w:numFmt w:val="decimal"/>
      <w:lvlText w:val="(%1)."/>
      <w:lvlJc w:val="left"/>
      <w:pPr>
        <w:ind w:left="1069" w:hanging="360"/>
      </w:pPr>
      <w:rPr>
        <w:rFonts w:hint="default"/>
      </w:rPr>
    </w:lvl>
    <w:lvl w:ilvl="1" w:tplc="08090017">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9D878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853B21"/>
    <w:multiLevelType w:val="multilevel"/>
    <w:tmpl w:val="3ACC0C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254E1D"/>
    <w:multiLevelType w:val="hybridMultilevel"/>
    <w:tmpl w:val="EF58BFD4"/>
    <w:lvl w:ilvl="0" w:tplc="81A871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C370369"/>
    <w:multiLevelType w:val="hybridMultilevel"/>
    <w:tmpl w:val="F580F0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2C450E18"/>
    <w:multiLevelType w:val="hybridMultilevel"/>
    <w:tmpl w:val="FB243156"/>
    <w:lvl w:ilvl="0" w:tplc="CF2C64D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C9B70D6"/>
    <w:multiLevelType w:val="hybridMultilevel"/>
    <w:tmpl w:val="03FC2C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E5365F5"/>
    <w:multiLevelType w:val="multilevel"/>
    <w:tmpl w:val="0878419C"/>
    <w:lvl w:ilvl="0">
      <w:start w:val="4"/>
      <w:numFmt w:val="decimal"/>
      <w:lvlText w:val="%1."/>
      <w:lvlJc w:val="left"/>
      <w:pPr>
        <w:tabs>
          <w:tab w:val="num" w:pos="720"/>
        </w:tabs>
        <w:ind w:left="720" w:hanging="720"/>
      </w:pPr>
      <w:rPr>
        <w:rFonts w:ascii="Arial" w:hAnsi="Arial" w:hint="default"/>
        <w:b w:val="0"/>
        <w:i w:val="0"/>
        <w:sz w:val="24"/>
        <w:szCs w:val="24"/>
        <w:u w:val="none"/>
      </w:rPr>
    </w:lvl>
    <w:lvl w:ilvl="1">
      <w:start w:val="1"/>
      <w:numFmt w:val="bullet"/>
      <w:lvlText w:val=""/>
      <w:lvlJc w:val="left"/>
      <w:pPr>
        <w:tabs>
          <w:tab w:val="num" w:pos="1440"/>
        </w:tabs>
        <w:ind w:left="1440" w:hanging="720"/>
      </w:pPr>
      <w:rPr>
        <w:rFonts w:ascii="Symbol" w:hAnsi="Symbol"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2F3657C0"/>
    <w:multiLevelType w:val="multilevel"/>
    <w:tmpl w:val="1820C3E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B262A8"/>
    <w:multiLevelType w:val="hybridMultilevel"/>
    <w:tmpl w:val="88E41834"/>
    <w:lvl w:ilvl="0" w:tplc="924A8E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F86593"/>
    <w:multiLevelType w:val="hybridMultilevel"/>
    <w:tmpl w:val="BAD4E172"/>
    <w:lvl w:ilvl="0" w:tplc="8458A7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6534973"/>
    <w:multiLevelType w:val="multilevel"/>
    <w:tmpl w:val="E92858D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85719B6"/>
    <w:multiLevelType w:val="multilevel"/>
    <w:tmpl w:val="90A22C52"/>
    <w:lvl w:ilvl="0">
      <w:start w:val="6"/>
      <w:numFmt w:val="decimal"/>
      <w:lvlText w:val="%1."/>
      <w:lvlJc w:val="left"/>
      <w:pPr>
        <w:ind w:left="720" w:hanging="360"/>
      </w:pPr>
      <w:rPr>
        <w:rFonts w:ascii="Arial" w:hAnsi="Arial" w:cs="Arial" w:hint="default"/>
        <w:sz w:val="28"/>
      </w:rPr>
    </w:lvl>
    <w:lvl w:ilvl="1">
      <w:start w:val="1"/>
      <w:numFmt w:val="decimal"/>
      <w:isLgl/>
      <w:lvlText w:val="%1.%2"/>
      <w:lvlJc w:val="left"/>
      <w:pPr>
        <w:ind w:left="1398"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CD876F7"/>
    <w:multiLevelType w:val="hybridMultilevel"/>
    <w:tmpl w:val="57D8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EE47217"/>
    <w:multiLevelType w:val="hybridMultilevel"/>
    <w:tmpl w:val="B778EDA8"/>
    <w:lvl w:ilvl="0" w:tplc="08090017">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34" w15:restartNumberingAfterBreak="0">
    <w:nsid w:val="3F932C14"/>
    <w:multiLevelType w:val="hybridMultilevel"/>
    <w:tmpl w:val="630672FC"/>
    <w:lvl w:ilvl="0" w:tplc="EE248E3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40984A26"/>
    <w:multiLevelType w:val="hybridMultilevel"/>
    <w:tmpl w:val="12EE73C6"/>
    <w:lvl w:ilvl="0" w:tplc="0C6CC570">
      <w:start w:val="1"/>
      <w:numFmt w:val="decimal"/>
      <w:lvlText w:val="%1."/>
      <w:lvlJc w:val="left"/>
      <w:pPr>
        <w:ind w:left="1778" w:hanging="360"/>
      </w:pPr>
      <w:rPr>
        <w:rFonts w:ascii="Arial" w:eastAsia="Calibri" w:hAnsi="Arial" w:cs="Arial"/>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36" w15:restartNumberingAfterBreak="0">
    <w:nsid w:val="427824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934D5D"/>
    <w:multiLevelType w:val="hybridMultilevel"/>
    <w:tmpl w:val="65FAAEC6"/>
    <w:lvl w:ilvl="0" w:tplc="E7D44254">
      <w:numFmt w:val="bullet"/>
      <w:lvlText w:val="•"/>
      <w:lvlJc w:val="left"/>
      <w:pPr>
        <w:ind w:left="-146" w:hanging="360"/>
      </w:pPr>
      <w:rPr>
        <w:rFonts w:ascii="Times New Roman" w:eastAsia="Times New Roman" w:hAnsi="Times New Roman" w:cs="Times New Roman" w:hint="default"/>
        <w:w w:val="13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49661460"/>
    <w:multiLevelType w:val="hybridMultilevel"/>
    <w:tmpl w:val="3A9E2222"/>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9A87C1E"/>
    <w:multiLevelType w:val="hybridMultilevel"/>
    <w:tmpl w:val="D25A5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D230D0D"/>
    <w:multiLevelType w:val="multilevel"/>
    <w:tmpl w:val="6016BC38"/>
    <w:lvl w:ilvl="0">
      <w:start w:val="1"/>
      <w:numFmt w:val="decimal"/>
      <w:pStyle w:val="Heading1"/>
      <w:lvlText w:val="%1."/>
      <w:lvlJc w:val="left"/>
      <w:pPr>
        <w:ind w:left="1069" w:hanging="360"/>
      </w:pPr>
      <w:rPr>
        <w:rFonts w:hint="default"/>
      </w:rPr>
    </w:lvl>
    <w:lvl w:ilvl="1">
      <w:start w:val="1"/>
      <w:numFmt w:val="decimal"/>
      <w:pStyle w:val="Heading2"/>
      <w:lvlText w:val="%1.%2."/>
      <w:lvlJc w:val="left"/>
      <w:pPr>
        <w:ind w:left="1501" w:hanging="432"/>
      </w:pPr>
      <w:rPr>
        <w:rFonts w:hint="default"/>
      </w:rPr>
    </w:lvl>
    <w:lvl w:ilvl="2">
      <w:start w:val="1"/>
      <w:numFmt w:val="decimal"/>
      <w:pStyle w:val="Heading3"/>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1" w15:restartNumberingAfterBreak="0">
    <w:nsid w:val="4E763CCD"/>
    <w:multiLevelType w:val="hybridMultilevel"/>
    <w:tmpl w:val="67B4D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EB81FFF"/>
    <w:multiLevelType w:val="multilevel"/>
    <w:tmpl w:val="E3FCC7D6"/>
    <w:lvl w:ilvl="0">
      <w:start w:val="6"/>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1475FFE"/>
    <w:multiLevelType w:val="multilevel"/>
    <w:tmpl w:val="CA48CFE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1A3283B"/>
    <w:multiLevelType w:val="hybridMultilevel"/>
    <w:tmpl w:val="21C4B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51D0839"/>
    <w:multiLevelType w:val="hybridMultilevel"/>
    <w:tmpl w:val="5162B1F8"/>
    <w:lvl w:ilvl="0" w:tplc="2E3AE400">
      <w:start w:val="1"/>
      <w:numFmt w:val="decimal"/>
      <w:lvlText w:val="%1."/>
      <w:lvlJc w:val="left"/>
      <w:pPr>
        <w:ind w:left="1778" w:hanging="360"/>
      </w:pPr>
      <w:rPr>
        <w:rFonts w:ascii="Arial" w:eastAsia="Calibri" w:hAnsi="Arial" w:cs="Arial"/>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46" w15:restartNumberingAfterBreak="0">
    <w:nsid w:val="598B702C"/>
    <w:multiLevelType w:val="hybridMultilevel"/>
    <w:tmpl w:val="6154557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EB4D02"/>
    <w:multiLevelType w:val="multilevel"/>
    <w:tmpl w:val="9C4C8484"/>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lowerLetter"/>
      <w:lvlText w:val="(%2)"/>
      <w:lvlJc w:val="left"/>
      <w:pPr>
        <w:tabs>
          <w:tab w:val="num" w:pos="1440"/>
        </w:tabs>
        <w:ind w:left="1440" w:hanging="720"/>
      </w:pPr>
      <w:rPr>
        <w:rFonts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15:restartNumberingAfterBreak="0">
    <w:nsid w:val="5A8A1B94"/>
    <w:multiLevelType w:val="multilevel"/>
    <w:tmpl w:val="78246728"/>
    <w:lvl w:ilvl="0">
      <w:start w:val="10"/>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DBF2FE0"/>
    <w:multiLevelType w:val="hybridMultilevel"/>
    <w:tmpl w:val="DFAE8FA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0" w15:restartNumberingAfterBreak="0">
    <w:nsid w:val="63726B61"/>
    <w:multiLevelType w:val="multilevel"/>
    <w:tmpl w:val="4C362E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3C828EC"/>
    <w:multiLevelType w:val="hybridMultilevel"/>
    <w:tmpl w:val="EDC40C6E"/>
    <w:lvl w:ilvl="0" w:tplc="4E9405E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5500B35"/>
    <w:multiLevelType w:val="hybridMultilevel"/>
    <w:tmpl w:val="60E2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6137FF"/>
    <w:multiLevelType w:val="multilevel"/>
    <w:tmpl w:val="CA48CFE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81D5ADC"/>
    <w:multiLevelType w:val="hybridMultilevel"/>
    <w:tmpl w:val="0C32529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5" w15:restartNumberingAfterBreak="0">
    <w:nsid w:val="69DF608D"/>
    <w:multiLevelType w:val="hybridMultilevel"/>
    <w:tmpl w:val="A2E6CDF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6" w15:restartNumberingAfterBreak="0">
    <w:nsid w:val="6A7D04A8"/>
    <w:multiLevelType w:val="multilevel"/>
    <w:tmpl w:val="1820C3E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C82ABC"/>
    <w:multiLevelType w:val="multilevel"/>
    <w:tmpl w:val="6B8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CCA42C4"/>
    <w:multiLevelType w:val="multilevel"/>
    <w:tmpl w:val="4A28449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6CE860E3"/>
    <w:multiLevelType w:val="multilevel"/>
    <w:tmpl w:val="FE72E794"/>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E0B592E"/>
    <w:multiLevelType w:val="multilevel"/>
    <w:tmpl w:val="739247CA"/>
    <w:lvl w:ilvl="0">
      <w:start w:val="1"/>
      <w:numFmt w:val="bullet"/>
      <w:lvlText w:val=""/>
      <w:lvlJc w:val="left"/>
      <w:pPr>
        <w:tabs>
          <w:tab w:val="num" w:pos="1440"/>
        </w:tabs>
        <w:ind w:left="1440" w:hanging="720"/>
      </w:pPr>
      <w:rPr>
        <w:rFonts w:ascii="Symbol" w:hAnsi="Symbol" w:hint="default"/>
        <w:b/>
        <w:bCs w:val="0"/>
        <w:i w:val="0"/>
        <w:sz w:val="24"/>
        <w:szCs w:val="24"/>
        <w:u w:val="none"/>
      </w:rPr>
    </w:lvl>
    <w:lvl w:ilvl="1">
      <w:start w:val="1"/>
      <w:numFmt w:val="bullet"/>
      <w:lvlText w:val=""/>
      <w:lvlJc w:val="left"/>
      <w:pPr>
        <w:tabs>
          <w:tab w:val="num" w:pos="2160"/>
        </w:tabs>
        <w:ind w:left="2160" w:hanging="720"/>
      </w:pPr>
      <w:rPr>
        <w:rFonts w:ascii="Symbol" w:hAnsi="Symbol" w:hint="default"/>
        <w:b w:val="0"/>
        <w:i w:val="0"/>
        <w:sz w:val="24"/>
        <w:szCs w:val="24"/>
        <w:u w:val="none"/>
      </w:rPr>
    </w:lvl>
    <w:lvl w:ilvl="2">
      <w:start w:val="1"/>
      <w:numFmt w:val="decimal"/>
      <w:lvlText w:val="(%3)"/>
      <w:lvlJc w:val="left"/>
      <w:pPr>
        <w:tabs>
          <w:tab w:val="num" w:pos="2880"/>
        </w:tabs>
        <w:ind w:left="2880" w:hanging="720"/>
      </w:pPr>
      <w:rPr>
        <w:rFonts w:hint="default"/>
        <w:b w:val="0"/>
        <w:i w:val="0"/>
        <w:sz w:val="24"/>
        <w:szCs w:val="24"/>
        <w:u w:val="none"/>
      </w:rPr>
    </w:lvl>
    <w:lvl w:ilvl="3">
      <w:start w:val="1"/>
      <w:numFmt w:val="lowerRoman"/>
      <w:lvlText w:val="(%4)"/>
      <w:lvlJc w:val="left"/>
      <w:pPr>
        <w:tabs>
          <w:tab w:val="num" w:pos="3600"/>
        </w:tabs>
        <w:ind w:left="3600" w:hanging="720"/>
      </w:pPr>
      <w:rPr>
        <w:rFonts w:hint="default"/>
        <w:b w:val="0"/>
        <w:i w:val="0"/>
        <w:sz w:val="24"/>
        <w:szCs w:val="24"/>
        <w:u w:val="none"/>
      </w:rPr>
    </w:lvl>
    <w:lvl w:ilvl="4">
      <w:start w:val="1"/>
      <w:numFmt w:val="lowerLetter"/>
      <w:lvlText w:val="(%5)"/>
      <w:lvlJc w:val="left"/>
      <w:pPr>
        <w:tabs>
          <w:tab w:val="num" w:pos="2160"/>
        </w:tabs>
        <w:ind w:left="2160" w:hanging="720"/>
      </w:pPr>
      <w:rPr>
        <w:rFonts w:hint="default"/>
        <w:b/>
        <w:i w:val="0"/>
        <w:sz w:val="24"/>
        <w:szCs w:val="24"/>
      </w:rPr>
    </w:lvl>
    <w:lvl w:ilvl="5">
      <w:start w:val="1"/>
      <w:numFmt w:val="decimal"/>
      <w:lvlText w:val="(%6)"/>
      <w:lvlJc w:val="left"/>
      <w:pPr>
        <w:tabs>
          <w:tab w:val="num" w:pos="2880"/>
        </w:tabs>
        <w:ind w:left="2880" w:hanging="720"/>
      </w:pPr>
      <w:rPr>
        <w:rFonts w:hint="default"/>
        <w:b/>
        <w:i w:val="0"/>
        <w:sz w:val="24"/>
        <w:szCs w:val="24"/>
      </w:rPr>
    </w:lvl>
    <w:lvl w:ilvl="6">
      <w:start w:val="1"/>
      <w:numFmt w:val="lowerRoman"/>
      <w:lvlText w:val="(%7)"/>
      <w:lvlJc w:val="left"/>
      <w:pPr>
        <w:tabs>
          <w:tab w:val="num" w:pos="3600"/>
        </w:tabs>
        <w:ind w:left="3600" w:hanging="720"/>
      </w:pPr>
      <w:rPr>
        <w:rFonts w:hint="default"/>
        <w:b/>
        <w:i w:val="0"/>
        <w:sz w:val="24"/>
        <w:szCs w:val="24"/>
      </w:rPr>
    </w:lvl>
    <w:lvl w:ilvl="7">
      <w:start w:val="1"/>
      <w:numFmt w:val="lowerLetter"/>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61" w15:restartNumberingAfterBreak="0">
    <w:nsid w:val="72730358"/>
    <w:multiLevelType w:val="hybridMultilevel"/>
    <w:tmpl w:val="1110034E"/>
    <w:lvl w:ilvl="0" w:tplc="81B22F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B007EE"/>
    <w:multiLevelType w:val="hybridMultilevel"/>
    <w:tmpl w:val="BB5EA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482AC9"/>
    <w:multiLevelType w:val="multilevel"/>
    <w:tmpl w:val="763A2D60"/>
    <w:lvl w:ilvl="0">
      <w:start w:val="1"/>
      <w:numFmt w:val="decimal"/>
      <w:lvlText w:val="%1."/>
      <w:lvlJc w:val="left"/>
      <w:pPr>
        <w:ind w:left="1440" w:hanging="360"/>
      </w:pPr>
      <w:rPr>
        <w:rFonts w:hint="default"/>
      </w:rPr>
    </w:lvl>
    <w:lvl w:ilvl="1">
      <w:start w:val="1"/>
      <w:numFmt w:val="decimal"/>
      <w:isLgl/>
      <w:lvlText w:val="%1.%2"/>
      <w:lvlJc w:val="left"/>
      <w:pPr>
        <w:ind w:left="1950" w:hanging="870"/>
      </w:pPr>
      <w:rPr>
        <w:rFonts w:hint="default"/>
      </w:rPr>
    </w:lvl>
    <w:lvl w:ilvl="2">
      <w:start w:val="1"/>
      <w:numFmt w:val="decimal"/>
      <w:isLgl/>
      <w:lvlText w:val="%1.%2.%3"/>
      <w:lvlJc w:val="left"/>
      <w:pPr>
        <w:ind w:left="1950" w:hanging="87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790B75B8"/>
    <w:multiLevelType w:val="multilevel"/>
    <w:tmpl w:val="12940FD2"/>
    <w:lvl w:ilvl="0">
      <w:start w:val="6"/>
      <w:numFmt w:val="decimal"/>
      <w:lvlText w:val="%1."/>
      <w:lvlJc w:val="left"/>
      <w:pPr>
        <w:ind w:left="644" w:hanging="360"/>
      </w:pPr>
      <w:rPr>
        <w:rFonts w:hint="default"/>
        <w:b/>
      </w:rPr>
    </w:lvl>
    <w:lvl w:ilvl="1">
      <w:start w:val="4"/>
      <w:numFmt w:val="decimal"/>
      <w:isLgl/>
      <w:lvlText w:val="%1.%2"/>
      <w:lvlJc w:val="left"/>
      <w:pPr>
        <w:ind w:left="1237" w:hanging="52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5" w15:restartNumberingAfterBreak="0">
    <w:nsid w:val="79BD1808"/>
    <w:multiLevelType w:val="hybridMultilevel"/>
    <w:tmpl w:val="83A82CBC"/>
    <w:lvl w:ilvl="0" w:tplc="CBE48A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6" w15:restartNumberingAfterBreak="0">
    <w:nsid w:val="7AE9065A"/>
    <w:multiLevelType w:val="hybridMultilevel"/>
    <w:tmpl w:val="7E027C3C"/>
    <w:lvl w:ilvl="0" w:tplc="DEE488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7F04222E"/>
    <w:multiLevelType w:val="hybridMultilevel"/>
    <w:tmpl w:val="CE1E1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1614859">
    <w:abstractNumId w:val="44"/>
  </w:num>
  <w:num w:numId="2" w16cid:durableId="20290199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47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5588765">
    <w:abstractNumId w:val="3"/>
  </w:num>
  <w:num w:numId="5" w16cid:durableId="1042903876">
    <w:abstractNumId w:val="35"/>
  </w:num>
  <w:num w:numId="6" w16cid:durableId="1100763783">
    <w:abstractNumId w:val="42"/>
  </w:num>
  <w:num w:numId="7" w16cid:durableId="1390349184">
    <w:abstractNumId w:val="7"/>
  </w:num>
  <w:num w:numId="8" w16cid:durableId="1764497239">
    <w:abstractNumId w:val="18"/>
  </w:num>
  <w:num w:numId="9" w16cid:durableId="543058573">
    <w:abstractNumId w:val="50"/>
  </w:num>
  <w:num w:numId="10" w16cid:durableId="2082368948">
    <w:abstractNumId w:val="39"/>
  </w:num>
  <w:num w:numId="11" w16cid:durableId="1921789385">
    <w:abstractNumId w:val="0"/>
  </w:num>
  <w:num w:numId="12" w16cid:durableId="941575262">
    <w:abstractNumId w:val="55"/>
  </w:num>
  <w:num w:numId="13" w16cid:durableId="2070764259">
    <w:abstractNumId w:val="37"/>
  </w:num>
  <w:num w:numId="14" w16cid:durableId="36853307">
    <w:abstractNumId w:val="49"/>
  </w:num>
  <w:num w:numId="15" w16cid:durableId="1858155895">
    <w:abstractNumId w:val="47"/>
  </w:num>
  <w:num w:numId="16" w16cid:durableId="1681616581">
    <w:abstractNumId w:val="15"/>
  </w:num>
  <w:num w:numId="17" w16cid:durableId="1437020470">
    <w:abstractNumId w:val="59"/>
  </w:num>
  <w:num w:numId="18" w16cid:durableId="563950534">
    <w:abstractNumId w:val="31"/>
  </w:num>
  <w:num w:numId="19" w16cid:durableId="1731540206">
    <w:abstractNumId w:val="67"/>
  </w:num>
  <w:num w:numId="20" w16cid:durableId="1331910669">
    <w:abstractNumId w:val="51"/>
  </w:num>
  <w:num w:numId="21" w16cid:durableId="995300817">
    <w:abstractNumId w:val="24"/>
  </w:num>
  <w:num w:numId="22" w16cid:durableId="765878992">
    <w:abstractNumId w:val="38"/>
  </w:num>
  <w:num w:numId="23" w16cid:durableId="417681714">
    <w:abstractNumId w:val="46"/>
  </w:num>
  <w:num w:numId="24" w16cid:durableId="795949573">
    <w:abstractNumId w:val="58"/>
  </w:num>
  <w:num w:numId="25" w16cid:durableId="21519149">
    <w:abstractNumId w:val="33"/>
  </w:num>
  <w:num w:numId="26" w16cid:durableId="609819785">
    <w:abstractNumId w:val="53"/>
  </w:num>
  <w:num w:numId="27" w16cid:durableId="1734739227">
    <w:abstractNumId w:val="5"/>
  </w:num>
  <w:num w:numId="28" w16cid:durableId="5524562">
    <w:abstractNumId w:val="6"/>
  </w:num>
  <w:num w:numId="29" w16cid:durableId="787160677">
    <w:abstractNumId w:val="43"/>
  </w:num>
  <w:num w:numId="30" w16cid:durableId="818300772">
    <w:abstractNumId w:val="64"/>
  </w:num>
  <w:num w:numId="31" w16cid:durableId="277952778">
    <w:abstractNumId w:val="2"/>
  </w:num>
  <w:num w:numId="32" w16cid:durableId="1707095360">
    <w:abstractNumId w:val="48"/>
  </w:num>
  <w:num w:numId="33" w16cid:durableId="186215598">
    <w:abstractNumId w:val="15"/>
  </w:num>
  <w:num w:numId="34" w16cid:durableId="581253961">
    <w:abstractNumId w:val="66"/>
  </w:num>
  <w:num w:numId="35" w16cid:durableId="741441299">
    <w:abstractNumId w:val="22"/>
  </w:num>
  <w:num w:numId="36" w16cid:durableId="1633100583">
    <w:abstractNumId w:val="65"/>
  </w:num>
  <w:num w:numId="37" w16cid:durableId="1134905100">
    <w:abstractNumId w:val="9"/>
  </w:num>
  <w:num w:numId="38" w16cid:durableId="1821998647">
    <w:abstractNumId w:val="28"/>
  </w:num>
  <w:num w:numId="39" w16cid:durableId="1788894412">
    <w:abstractNumId w:val="63"/>
  </w:num>
  <w:num w:numId="40" w16cid:durableId="1078135145">
    <w:abstractNumId w:val="29"/>
  </w:num>
  <w:num w:numId="41" w16cid:durableId="1054889199">
    <w:abstractNumId w:val="8"/>
  </w:num>
  <w:num w:numId="42" w16cid:durableId="726220197">
    <w:abstractNumId w:val="17"/>
  </w:num>
  <w:num w:numId="43" w16cid:durableId="427627851">
    <w:abstractNumId w:val="14"/>
  </w:num>
  <w:num w:numId="44" w16cid:durableId="418259991">
    <w:abstractNumId w:val="52"/>
  </w:num>
  <w:num w:numId="45" w16cid:durableId="1134525253">
    <w:abstractNumId w:val="23"/>
  </w:num>
  <w:num w:numId="46" w16cid:durableId="1256867602">
    <w:abstractNumId w:val="1"/>
  </w:num>
  <w:num w:numId="47" w16cid:durableId="1392927979">
    <w:abstractNumId w:val="57"/>
  </w:num>
  <w:num w:numId="48" w16cid:durableId="1187408008">
    <w:abstractNumId w:val="16"/>
  </w:num>
  <w:num w:numId="49" w16cid:durableId="2097894527">
    <w:abstractNumId w:val="12"/>
  </w:num>
  <w:num w:numId="50" w16cid:durableId="1661230236">
    <w:abstractNumId w:val="30"/>
  </w:num>
  <w:num w:numId="51" w16cid:durableId="435251721">
    <w:abstractNumId w:val="56"/>
  </w:num>
  <w:num w:numId="52" w16cid:durableId="441077276">
    <w:abstractNumId w:val="20"/>
  </w:num>
  <w:num w:numId="53" w16cid:durableId="1556501172">
    <w:abstractNumId w:val="27"/>
  </w:num>
  <w:num w:numId="54" w16cid:durableId="464398930">
    <w:abstractNumId w:val="13"/>
  </w:num>
  <w:num w:numId="55" w16cid:durableId="913583017">
    <w:abstractNumId w:val="26"/>
  </w:num>
  <w:num w:numId="56" w16cid:durableId="913273418">
    <w:abstractNumId w:val="60"/>
  </w:num>
  <w:num w:numId="57" w16cid:durableId="1410150267">
    <w:abstractNumId w:val="36"/>
  </w:num>
  <w:num w:numId="58" w16cid:durableId="1207840459">
    <w:abstractNumId w:val="61"/>
  </w:num>
  <w:num w:numId="59" w16cid:durableId="1679623469">
    <w:abstractNumId w:val="4"/>
  </w:num>
  <w:num w:numId="60" w16cid:durableId="758915208">
    <w:abstractNumId w:val="40"/>
  </w:num>
  <w:num w:numId="61" w16cid:durableId="840967307">
    <w:abstractNumId w:val="21"/>
  </w:num>
  <w:num w:numId="62" w16cid:durableId="379979378">
    <w:abstractNumId w:val="40"/>
  </w:num>
  <w:num w:numId="63" w16cid:durableId="1927035823">
    <w:abstractNumId w:val="40"/>
  </w:num>
  <w:num w:numId="64" w16cid:durableId="472676597">
    <w:abstractNumId w:val="19"/>
  </w:num>
  <w:num w:numId="65" w16cid:durableId="1808818616">
    <w:abstractNumId w:val="62"/>
  </w:num>
  <w:num w:numId="66" w16cid:durableId="1602491874">
    <w:abstractNumId w:val="25"/>
  </w:num>
  <w:num w:numId="67" w16cid:durableId="984312818">
    <w:abstractNumId w:val="32"/>
  </w:num>
  <w:num w:numId="68" w16cid:durableId="14773722">
    <w:abstractNumId w:val="41"/>
  </w:num>
  <w:num w:numId="69" w16cid:durableId="686298548">
    <w:abstractNumId w:val="54"/>
  </w:num>
  <w:num w:numId="70" w16cid:durableId="1641032380">
    <w:abstractNumId w:val="10"/>
  </w:num>
  <w:num w:numId="71" w16cid:durableId="1051206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76493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86476919">
    <w:abstractNumId w:val="11"/>
  </w:num>
  <w:num w:numId="74" w16cid:durableId="7588711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30"/>
    <w:rsid w:val="000026DB"/>
    <w:rsid w:val="0000304F"/>
    <w:rsid w:val="00003ECF"/>
    <w:rsid w:val="00004679"/>
    <w:rsid w:val="0001012E"/>
    <w:rsid w:val="00012FBB"/>
    <w:rsid w:val="00013C53"/>
    <w:rsid w:val="00015481"/>
    <w:rsid w:val="00015C34"/>
    <w:rsid w:val="0002123D"/>
    <w:rsid w:val="0002136E"/>
    <w:rsid w:val="00023272"/>
    <w:rsid w:val="00025F01"/>
    <w:rsid w:val="00027854"/>
    <w:rsid w:val="000332B6"/>
    <w:rsid w:val="00033718"/>
    <w:rsid w:val="00036709"/>
    <w:rsid w:val="00036BDA"/>
    <w:rsid w:val="00040121"/>
    <w:rsid w:val="00041CC7"/>
    <w:rsid w:val="000431C9"/>
    <w:rsid w:val="00044BD1"/>
    <w:rsid w:val="00044E14"/>
    <w:rsid w:val="000461E2"/>
    <w:rsid w:val="00046E59"/>
    <w:rsid w:val="00050941"/>
    <w:rsid w:val="00050EDF"/>
    <w:rsid w:val="0005290D"/>
    <w:rsid w:val="00055267"/>
    <w:rsid w:val="000609D1"/>
    <w:rsid w:val="00061725"/>
    <w:rsid w:val="000637F6"/>
    <w:rsid w:val="000643AF"/>
    <w:rsid w:val="00067BA3"/>
    <w:rsid w:val="000713DD"/>
    <w:rsid w:val="00072FB4"/>
    <w:rsid w:val="0007558F"/>
    <w:rsid w:val="000765B7"/>
    <w:rsid w:val="00080B9D"/>
    <w:rsid w:val="00081BB4"/>
    <w:rsid w:val="000825FD"/>
    <w:rsid w:val="00083A3D"/>
    <w:rsid w:val="00083BD3"/>
    <w:rsid w:val="00084CC7"/>
    <w:rsid w:val="0008652B"/>
    <w:rsid w:val="00086E65"/>
    <w:rsid w:val="00087525"/>
    <w:rsid w:val="00087F1B"/>
    <w:rsid w:val="00090E02"/>
    <w:rsid w:val="00091320"/>
    <w:rsid w:val="000916B7"/>
    <w:rsid w:val="00092D1C"/>
    <w:rsid w:val="00092D2E"/>
    <w:rsid w:val="000A01E7"/>
    <w:rsid w:val="000A0D9C"/>
    <w:rsid w:val="000A0E63"/>
    <w:rsid w:val="000A1FCF"/>
    <w:rsid w:val="000A6096"/>
    <w:rsid w:val="000A68B7"/>
    <w:rsid w:val="000B3FA3"/>
    <w:rsid w:val="000B516F"/>
    <w:rsid w:val="000B6C12"/>
    <w:rsid w:val="000B6E8B"/>
    <w:rsid w:val="000B7828"/>
    <w:rsid w:val="000C23DF"/>
    <w:rsid w:val="000C3768"/>
    <w:rsid w:val="000C4A68"/>
    <w:rsid w:val="000C71E3"/>
    <w:rsid w:val="000C728E"/>
    <w:rsid w:val="000C7D81"/>
    <w:rsid w:val="000D36D8"/>
    <w:rsid w:val="000D4369"/>
    <w:rsid w:val="000D4580"/>
    <w:rsid w:val="000D55B0"/>
    <w:rsid w:val="000D7942"/>
    <w:rsid w:val="000E205F"/>
    <w:rsid w:val="000E27D4"/>
    <w:rsid w:val="000E3352"/>
    <w:rsid w:val="000E4BB6"/>
    <w:rsid w:val="000E6530"/>
    <w:rsid w:val="000F1C1D"/>
    <w:rsid w:val="000F1C44"/>
    <w:rsid w:val="000F2B04"/>
    <w:rsid w:val="000F7281"/>
    <w:rsid w:val="001016B1"/>
    <w:rsid w:val="0010264E"/>
    <w:rsid w:val="00102BA9"/>
    <w:rsid w:val="0010395A"/>
    <w:rsid w:val="0010420B"/>
    <w:rsid w:val="001060B4"/>
    <w:rsid w:val="00106F42"/>
    <w:rsid w:val="00107857"/>
    <w:rsid w:val="001112A6"/>
    <w:rsid w:val="00111EE2"/>
    <w:rsid w:val="00116860"/>
    <w:rsid w:val="00116FFC"/>
    <w:rsid w:val="00120B60"/>
    <w:rsid w:val="00122AFA"/>
    <w:rsid w:val="00122F3B"/>
    <w:rsid w:val="0012484C"/>
    <w:rsid w:val="00124EEF"/>
    <w:rsid w:val="00124FD9"/>
    <w:rsid w:val="00125DF4"/>
    <w:rsid w:val="00126EE4"/>
    <w:rsid w:val="00127C3F"/>
    <w:rsid w:val="00130743"/>
    <w:rsid w:val="00132EC5"/>
    <w:rsid w:val="001334CC"/>
    <w:rsid w:val="00133809"/>
    <w:rsid w:val="0013664F"/>
    <w:rsid w:val="001369B3"/>
    <w:rsid w:val="00137ECA"/>
    <w:rsid w:val="00141A74"/>
    <w:rsid w:val="00141F07"/>
    <w:rsid w:val="001445A7"/>
    <w:rsid w:val="00146D04"/>
    <w:rsid w:val="00146DA3"/>
    <w:rsid w:val="001475A7"/>
    <w:rsid w:val="00150C6F"/>
    <w:rsid w:val="0015141E"/>
    <w:rsid w:val="001522CD"/>
    <w:rsid w:val="00152755"/>
    <w:rsid w:val="001553E9"/>
    <w:rsid w:val="001567B6"/>
    <w:rsid w:val="00156A17"/>
    <w:rsid w:val="00157B16"/>
    <w:rsid w:val="00157EA9"/>
    <w:rsid w:val="001648E9"/>
    <w:rsid w:val="0016567D"/>
    <w:rsid w:val="00165C96"/>
    <w:rsid w:val="00166248"/>
    <w:rsid w:val="00170FA8"/>
    <w:rsid w:val="0017250C"/>
    <w:rsid w:val="00172946"/>
    <w:rsid w:val="00172D2C"/>
    <w:rsid w:val="00173C9D"/>
    <w:rsid w:val="001750EE"/>
    <w:rsid w:val="00175208"/>
    <w:rsid w:val="001770CC"/>
    <w:rsid w:val="001778FC"/>
    <w:rsid w:val="00181270"/>
    <w:rsid w:val="0018258E"/>
    <w:rsid w:val="00182B3E"/>
    <w:rsid w:val="00182F5D"/>
    <w:rsid w:val="00183108"/>
    <w:rsid w:val="001864E4"/>
    <w:rsid w:val="00186682"/>
    <w:rsid w:val="00192E62"/>
    <w:rsid w:val="00192F96"/>
    <w:rsid w:val="0019512D"/>
    <w:rsid w:val="001959AB"/>
    <w:rsid w:val="00197489"/>
    <w:rsid w:val="001A2241"/>
    <w:rsid w:val="001A430A"/>
    <w:rsid w:val="001A484A"/>
    <w:rsid w:val="001A4CD0"/>
    <w:rsid w:val="001A4FE2"/>
    <w:rsid w:val="001A7FED"/>
    <w:rsid w:val="001B02F6"/>
    <w:rsid w:val="001B2F3E"/>
    <w:rsid w:val="001B457B"/>
    <w:rsid w:val="001B711E"/>
    <w:rsid w:val="001B7E2F"/>
    <w:rsid w:val="001C18C0"/>
    <w:rsid w:val="001C1BF4"/>
    <w:rsid w:val="001C1F6A"/>
    <w:rsid w:val="001C307B"/>
    <w:rsid w:val="001C3B8F"/>
    <w:rsid w:val="001C6D2F"/>
    <w:rsid w:val="001C7E50"/>
    <w:rsid w:val="001D2FA3"/>
    <w:rsid w:val="001D3C1F"/>
    <w:rsid w:val="001D4BA2"/>
    <w:rsid w:val="001D587E"/>
    <w:rsid w:val="001D653A"/>
    <w:rsid w:val="001E0965"/>
    <w:rsid w:val="001E2258"/>
    <w:rsid w:val="001E3A27"/>
    <w:rsid w:val="001E4C7F"/>
    <w:rsid w:val="001E53FD"/>
    <w:rsid w:val="001E58D9"/>
    <w:rsid w:val="001E66DD"/>
    <w:rsid w:val="001E6D44"/>
    <w:rsid w:val="001E7F03"/>
    <w:rsid w:val="001F03AC"/>
    <w:rsid w:val="001F26F5"/>
    <w:rsid w:val="001F4F95"/>
    <w:rsid w:val="001F6206"/>
    <w:rsid w:val="001F622E"/>
    <w:rsid w:val="001F681F"/>
    <w:rsid w:val="001F7319"/>
    <w:rsid w:val="00200151"/>
    <w:rsid w:val="002040BD"/>
    <w:rsid w:val="00205837"/>
    <w:rsid w:val="0021027E"/>
    <w:rsid w:val="002107F6"/>
    <w:rsid w:val="0021094A"/>
    <w:rsid w:val="002112EC"/>
    <w:rsid w:val="002205FE"/>
    <w:rsid w:val="002214B1"/>
    <w:rsid w:val="00222A0C"/>
    <w:rsid w:val="00222ECE"/>
    <w:rsid w:val="0022459E"/>
    <w:rsid w:val="002250B5"/>
    <w:rsid w:val="00225374"/>
    <w:rsid w:val="002300B5"/>
    <w:rsid w:val="00230186"/>
    <w:rsid w:val="00230301"/>
    <w:rsid w:val="00231389"/>
    <w:rsid w:val="00243576"/>
    <w:rsid w:val="00243BCB"/>
    <w:rsid w:val="00243E8E"/>
    <w:rsid w:val="00243EBB"/>
    <w:rsid w:val="00246A48"/>
    <w:rsid w:val="002478C7"/>
    <w:rsid w:val="00251994"/>
    <w:rsid w:val="0025673E"/>
    <w:rsid w:val="00263ECC"/>
    <w:rsid w:val="00263EF9"/>
    <w:rsid w:val="00264800"/>
    <w:rsid w:val="00264B72"/>
    <w:rsid w:val="00265EA1"/>
    <w:rsid w:val="00271992"/>
    <w:rsid w:val="00271BCB"/>
    <w:rsid w:val="002736F1"/>
    <w:rsid w:val="002758F0"/>
    <w:rsid w:val="002771ED"/>
    <w:rsid w:val="002819EB"/>
    <w:rsid w:val="00282AB1"/>
    <w:rsid w:val="00282FEC"/>
    <w:rsid w:val="00285622"/>
    <w:rsid w:val="002861DB"/>
    <w:rsid w:val="00286FD7"/>
    <w:rsid w:val="00287CAE"/>
    <w:rsid w:val="002926F0"/>
    <w:rsid w:val="00292942"/>
    <w:rsid w:val="00292C67"/>
    <w:rsid w:val="0029389B"/>
    <w:rsid w:val="00293F82"/>
    <w:rsid w:val="002943D1"/>
    <w:rsid w:val="002955DD"/>
    <w:rsid w:val="00295C10"/>
    <w:rsid w:val="00295C8B"/>
    <w:rsid w:val="00296C1C"/>
    <w:rsid w:val="002A15DB"/>
    <w:rsid w:val="002A2A25"/>
    <w:rsid w:val="002A35D2"/>
    <w:rsid w:val="002A4C72"/>
    <w:rsid w:val="002A7054"/>
    <w:rsid w:val="002A72D8"/>
    <w:rsid w:val="002B267C"/>
    <w:rsid w:val="002B46AC"/>
    <w:rsid w:val="002B6F60"/>
    <w:rsid w:val="002B74C3"/>
    <w:rsid w:val="002B772D"/>
    <w:rsid w:val="002C00BE"/>
    <w:rsid w:val="002C12DB"/>
    <w:rsid w:val="002C1F04"/>
    <w:rsid w:val="002C49AB"/>
    <w:rsid w:val="002C4E7D"/>
    <w:rsid w:val="002C5F37"/>
    <w:rsid w:val="002D231A"/>
    <w:rsid w:val="002D2BB2"/>
    <w:rsid w:val="002D451B"/>
    <w:rsid w:val="002D6190"/>
    <w:rsid w:val="002D679D"/>
    <w:rsid w:val="002D7300"/>
    <w:rsid w:val="002D7D98"/>
    <w:rsid w:val="002E5DA2"/>
    <w:rsid w:val="002E7586"/>
    <w:rsid w:val="002F00C7"/>
    <w:rsid w:val="002F10AB"/>
    <w:rsid w:val="002F3C16"/>
    <w:rsid w:val="002F3DF4"/>
    <w:rsid w:val="002F5FAB"/>
    <w:rsid w:val="002F6C60"/>
    <w:rsid w:val="00304A3A"/>
    <w:rsid w:val="00305E48"/>
    <w:rsid w:val="003063D5"/>
    <w:rsid w:val="00307713"/>
    <w:rsid w:val="00310A09"/>
    <w:rsid w:val="00311406"/>
    <w:rsid w:val="00311EA2"/>
    <w:rsid w:val="003138B0"/>
    <w:rsid w:val="003146EB"/>
    <w:rsid w:val="003151F6"/>
    <w:rsid w:val="00321116"/>
    <w:rsid w:val="00321423"/>
    <w:rsid w:val="00323A93"/>
    <w:rsid w:val="00323D32"/>
    <w:rsid w:val="00324D58"/>
    <w:rsid w:val="00324F90"/>
    <w:rsid w:val="003250E7"/>
    <w:rsid w:val="00325456"/>
    <w:rsid w:val="003309BF"/>
    <w:rsid w:val="003315FC"/>
    <w:rsid w:val="00332292"/>
    <w:rsid w:val="00337321"/>
    <w:rsid w:val="003414FB"/>
    <w:rsid w:val="00342DF7"/>
    <w:rsid w:val="003479B1"/>
    <w:rsid w:val="003505F7"/>
    <w:rsid w:val="00353E4A"/>
    <w:rsid w:val="003548C5"/>
    <w:rsid w:val="00355125"/>
    <w:rsid w:val="0036070A"/>
    <w:rsid w:val="00361022"/>
    <w:rsid w:val="0036213F"/>
    <w:rsid w:val="00362F6D"/>
    <w:rsid w:val="0036411C"/>
    <w:rsid w:val="00374CDD"/>
    <w:rsid w:val="003808C3"/>
    <w:rsid w:val="003812CA"/>
    <w:rsid w:val="003821F3"/>
    <w:rsid w:val="00385258"/>
    <w:rsid w:val="003864F3"/>
    <w:rsid w:val="00390A5C"/>
    <w:rsid w:val="003917E4"/>
    <w:rsid w:val="00392D72"/>
    <w:rsid w:val="003A0BFF"/>
    <w:rsid w:val="003A317B"/>
    <w:rsid w:val="003A486D"/>
    <w:rsid w:val="003A570B"/>
    <w:rsid w:val="003B0426"/>
    <w:rsid w:val="003B0C95"/>
    <w:rsid w:val="003B18FA"/>
    <w:rsid w:val="003B4FB5"/>
    <w:rsid w:val="003B5226"/>
    <w:rsid w:val="003B5D8A"/>
    <w:rsid w:val="003B5E30"/>
    <w:rsid w:val="003B61AD"/>
    <w:rsid w:val="003B6309"/>
    <w:rsid w:val="003B6613"/>
    <w:rsid w:val="003B6BB7"/>
    <w:rsid w:val="003B7C83"/>
    <w:rsid w:val="003C316F"/>
    <w:rsid w:val="003C3A29"/>
    <w:rsid w:val="003C4286"/>
    <w:rsid w:val="003C43D6"/>
    <w:rsid w:val="003C4F91"/>
    <w:rsid w:val="003C7447"/>
    <w:rsid w:val="003D00D7"/>
    <w:rsid w:val="003D07DE"/>
    <w:rsid w:val="003D1336"/>
    <w:rsid w:val="003D17A5"/>
    <w:rsid w:val="003D244E"/>
    <w:rsid w:val="003D44C0"/>
    <w:rsid w:val="003D48AD"/>
    <w:rsid w:val="003E049E"/>
    <w:rsid w:val="003E4831"/>
    <w:rsid w:val="003E6482"/>
    <w:rsid w:val="003F1325"/>
    <w:rsid w:val="003F1526"/>
    <w:rsid w:val="003F3F06"/>
    <w:rsid w:val="003F422F"/>
    <w:rsid w:val="003F7C08"/>
    <w:rsid w:val="00400062"/>
    <w:rsid w:val="00402496"/>
    <w:rsid w:val="00403BA1"/>
    <w:rsid w:val="00403E74"/>
    <w:rsid w:val="00404E93"/>
    <w:rsid w:val="00404FA3"/>
    <w:rsid w:val="00407001"/>
    <w:rsid w:val="004101FC"/>
    <w:rsid w:val="00410D2C"/>
    <w:rsid w:val="00412B27"/>
    <w:rsid w:val="004131AF"/>
    <w:rsid w:val="00413DAA"/>
    <w:rsid w:val="004146BB"/>
    <w:rsid w:val="0041472E"/>
    <w:rsid w:val="00415A1D"/>
    <w:rsid w:val="00415F7F"/>
    <w:rsid w:val="00416666"/>
    <w:rsid w:val="00421BF3"/>
    <w:rsid w:val="00424049"/>
    <w:rsid w:val="00425AE2"/>
    <w:rsid w:val="00427997"/>
    <w:rsid w:val="00427A02"/>
    <w:rsid w:val="0043548F"/>
    <w:rsid w:val="00435A85"/>
    <w:rsid w:val="004360AE"/>
    <w:rsid w:val="0043679A"/>
    <w:rsid w:val="00437198"/>
    <w:rsid w:val="00441514"/>
    <w:rsid w:val="004417DB"/>
    <w:rsid w:val="004430C3"/>
    <w:rsid w:val="004439F9"/>
    <w:rsid w:val="00443FDE"/>
    <w:rsid w:val="00445AAA"/>
    <w:rsid w:val="004464B3"/>
    <w:rsid w:val="00446923"/>
    <w:rsid w:val="00446A4A"/>
    <w:rsid w:val="004478AC"/>
    <w:rsid w:val="00450559"/>
    <w:rsid w:val="00451238"/>
    <w:rsid w:val="00453336"/>
    <w:rsid w:val="0046149C"/>
    <w:rsid w:val="004638D4"/>
    <w:rsid w:val="00464623"/>
    <w:rsid w:val="00464BD7"/>
    <w:rsid w:val="00467242"/>
    <w:rsid w:val="00467904"/>
    <w:rsid w:val="00470FEA"/>
    <w:rsid w:val="00471444"/>
    <w:rsid w:val="0047745C"/>
    <w:rsid w:val="0048008A"/>
    <w:rsid w:val="00480CC5"/>
    <w:rsid w:val="00480F85"/>
    <w:rsid w:val="004818C3"/>
    <w:rsid w:val="004818E1"/>
    <w:rsid w:val="00481DA2"/>
    <w:rsid w:val="0048225C"/>
    <w:rsid w:val="00482490"/>
    <w:rsid w:val="0048337F"/>
    <w:rsid w:val="00485669"/>
    <w:rsid w:val="0048642E"/>
    <w:rsid w:val="004866E8"/>
    <w:rsid w:val="00491329"/>
    <w:rsid w:val="004920EE"/>
    <w:rsid w:val="00495FAE"/>
    <w:rsid w:val="00497587"/>
    <w:rsid w:val="004A1A97"/>
    <w:rsid w:val="004A3F81"/>
    <w:rsid w:val="004A7690"/>
    <w:rsid w:val="004A7776"/>
    <w:rsid w:val="004B212C"/>
    <w:rsid w:val="004B4B88"/>
    <w:rsid w:val="004B5C11"/>
    <w:rsid w:val="004B6107"/>
    <w:rsid w:val="004B6D53"/>
    <w:rsid w:val="004B722E"/>
    <w:rsid w:val="004B72CF"/>
    <w:rsid w:val="004C397A"/>
    <w:rsid w:val="004C4646"/>
    <w:rsid w:val="004C5AFD"/>
    <w:rsid w:val="004C6B90"/>
    <w:rsid w:val="004C773D"/>
    <w:rsid w:val="004C785C"/>
    <w:rsid w:val="004C79A7"/>
    <w:rsid w:val="004C7C11"/>
    <w:rsid w:val="004D0FCF"/>
    <w:rsid w:val="004D4109"/>
    <w:rsid w:val="004D4E29"/>
    <w:rsid w:val="004D728E"/>
    <w:rsid w:val="004D743B"/>
    <w:rsid w:val="004D745E"/>
    <w:rsid w:val="004E2256"/>
    <w:rsid w:val="004E2BEC"/>
    <w:rsid w:val="004E3A46"/>
    <w:rsid w:val="004E4674"/>
    <w:rsid w:val="004E5424"/>
    <w:rsid w:val="004E5426"/>
    <w:rsid w:val="004F12BE"/>
    <w:rsid w:val="004F18AB"/>
    <w:rsid w:val="00501B79"/>
    <w:rsid w:val="00502559"/>
    <w:rsid w:val="0050357B"/>
    <w:rsid w:val="00504126"/>
    <w:rsid w:val="0050626F"/>
    <w:rsid w:val="005069BA"/>
    <w:rsid w:val="005076FD"/>
    <w:rsid w:val="005110B2"/>
    <w:rsid w:val="00513F20"/>
    <w:rsid w:val="00514D5B"/>
    <w:rsid w:val="00515B8D"/>
    <w:rsid w:val="00516048"/>
    <w:rsid w:val="0051635B"/>
    <w:rsid w:val="005166E0"/>
    <w:rsid w:val="00517041"/>
    <w:rsid w:val="00520462"/>
    <w:rsid w:val="005208D4"/>
    <w:rsid w:val="00520B98"/>
    <w:rsid w:val="00523315"/>
    <w:rsid w:val="00525540"/>
    <w:rsid w:val="00525A2D"/>
    <w:rsid w:val="00525F4A"/>
    <w:rsid w:val="00527F9B"/>
    <w:rsid w:val="005304E1"/>
    <w:rsid w:val="00530BF7"/>
    <w:rsid w:val="00532A55"/>
    <w:rsid w:val="00532ACE"/>
    <w:rsid w:val="00534FBA"/>
    <w:rsid w:val="0053608A"/>
    <w:rsid w:val="0053719C"/>
    <w:rsid w:val="0053746A"/>
    <w:rsid w:val="00541886"/>
    <w:rsid w:val="00545F1C"/>
    <w:rsid w:val="005465C9"/>
    <w:rsid w:val="00547CF5"/>
    <w:rsid w:val="005506BE"/>
    <w:rsid w:val="00550BDB"/>
    <w:rsid w:val="005511E9"/>
    <w:rsid w:val="0055126C"/>
    <w:rsid w:val="00554F09"/>
    <w:rsid w:val="00556E1A"/>
    <w:rsid w:val="00561094"/>
    <w:rsid w:val="005640A2"/>
    <w:rsid w:val="00564389"/>
    <w:rsid w:val="00566395"/>
    <w:rsid w:val="0056747A"/>
    <w:rsid w:val="005704F2"/>
    <w:rsid w:val="005731AB"/>
    <w:rsid w:val="00573211"/>
    <w:rsid w:val="0057373F"/>
    <w:rsid w:val="00574ABA"/>
    <w:rsid w:val="00576F83"/>
    <w:rsid w:val="0058119A"/>
    <w:rsid w:val="00581686"/>
    <w:rsid w:val="00586472"/>
    <w:rsid w:val="00592811"/>
    <w:rsid w:val="005940DD"/>
    <w:rsid w:val="00594C94"/>
    <w:rsid w:val="005962D1"/>
    <w:rsid w:val="00597FD4"/>
    <w:rsid w:val="005A290C"/>
    <w:rsid w:val="005A7FE6"/>
    <w:rsid w:val="005B0D4E"/>
    <w:rsid w:val="005B2CAA"/>
    <w:rsid w:val="005B33FE"/>
    <w:rsid w:val="005B4275"/>
    <w:rsid w:val="005B5C26"/>
    <w:rsid w:val="005B70B0"/>
    <w:rsid w:val="005C0ABA"/>
    <w:rsid w:val="005C0F67"/>
    <w:rsid w:val="005C14A0"/>
    <w:rsid w:val="005C20F0"/>
    <w:rsid w:val="005C2F88"/>
    <w:rsid w:val="005C73B8"/>
    <w:rsid w:val="005C76D5"/>
    <w:rsid w:val="005D03FF"/>
    <w:rsid w:val="005D3145"/>
    <w:rsid w:val="005D7ACE"/>
    <w:rsid w:val="005E19AB"/>
    <w:rsid w:val="005E23B4"/>
    <w:rsid w:val="005E2F3C"/>
    <w:rsid w:val="005E4BFF"/>
    <w:rsid w:val="005E7C18"/>
    <w:rsid w:val="005F1C0E"/>
    <w:rsid w:val="005F4A25"/>
    <w:rsid w:val="005F55A4"/>
    <w:rsid w:val="0060107C"/>
    <w:rsid w:val="006016EA"/>
    <w:rsid w:val="00602041"/>
    <w:rsid w:val="00603524"/>
    <w:rsid w:val="006036AB"/>
    <w:rsid w:val="00604322"/>
    <w:rsid w:val="0060472E"/>
    <w:rsid w:val="006050CA"/>
    <w:rsid w:val="00607ABE"/>
    <w:rsid w:val="006114E9"/>
    <w:rsid w:val="00613755"/>
    <w:rsid w:val="0061393C"/>
    <w:rsid w:val="006166CC"/>
    <w:rsid w:val="00620F2F"/>
    <w:rsid w:val="00621ED7"/>
    <w:rsid w:val="0062480A"/>
    <w:rsid w:val="006301BD"/>
    <w:rsid w:val="00630AAB"/>
    <w:rsid w:val="00630B80"/>
    <w:rsid w:val="00632603"/>
    <w:rsid w:val="0063485F"/>
    <w:rsid w:val="00636AE9"/>
    <w:rsid w:val="00640E9C"/>
    <w:rsid w:val="00641CE6"/>
    <w:rsid w:val="006452FB"/>
    <w:rsid w:val="00647F5B"/>
    <w:rsid w:val="00651086"/>
    <w:rsid w:val="0065255B"/>
    <w:rsid w:val="00653EAC"/>
    <w:rsid w:val="00655225"/>
    <w:rsid w:val="006570E9"/>
    <w:rsid w:val="006600E5"/>
    <w:rsid w:val="00660764"/>
    <w:rsid w:val="00664617"/>
    <w:rsid w:val="00664BD7"/>
    <w:rsid w:val="006664C8"/>
    <w:rsid w:val="006665E0"/>
    <w:rsid w:val="0067080F"/>
    <w:rsid w:val="006714A9"/>
    <w:rsid w:val="00671812"/>
    <w:rsid w:val="00673831"/>
    <w:rsid w:val="00674617"/>
    <w:rsid w:val="0067598D"/>
    <w:rsid w:val="006809AD"/>
    <w:rsid w:val="006828A4"/>
    <w:rsid w:val="00691B29"/>
    <w:rsid w:val="00692F55"/>
    <w:rsid w:val="006957C2"/>
    <w:rsid w:val="006A00D2"/>
    <w:rsid w:val="006A08A0"/>
    <w:rsid w:val="006A0AC5"/>
    <w:rsid w:val="006A0ED3"/>
    <w:rsid w:val="006A195B"/>
    <w:rsid w:val="006A2254"/>
    <w:rsid w:val="006A2EFB"/>
    <w:rsid w:val="006A2F9B"/>
    <w:rsid w:val="006A303B"/>
    <w:rsid w:val="006A595F"/>
    <w:rsid w:val="006A627A"/>
    <w:rsid w:val="006A68A7"/>
    <w:rsid w:val="006A7199"/>
    <w:rsid w:val="006B0389"/>
    <w:rsid w:val="006B3641"/>
    <w:rsid w:val="006B5350"/>
    <w:rsid w:val="006B56FE"/>
    <w:rsid w:val="006B607D"/>
    <w:rsid w:val="006C26C5"/>
    <w:rsid w:val="006C3717"/>
    <w:rsid w:val="006C5332"/>
    <w:rsid w:val="006C7168"/>
    <w:rsid w:val="006C77A6"/>
    <w:rsid w:val="006C7960"/>
    <w:rsid w:val="006D3C75"/>
    <w:rsid w:val="006D432A"/>
    <w:rsid w:val="006E0171"/>
    <w:rsid w:val="006E0602"/>
    <w:rsid w:val="006E08AE"/>
    <w:rsid w:val="006E0FDB"/>
    <w:rsid w:val="006E2BA7"/>
    <w:rsid w:val="006E4C6B"/>
    <w:rsid w:val="006E51D2"/>
    <w:rsid w:val="006E5808"/>
    <w:rsid w:val="006E5EDD"/>
    <w:rsid w:val="006E66F8"/>
    <w:rsid w:val="006F07C9"/>
    <w:rsid w:val="006F0CC5"/>
    <w:rsid w:val="006F0F08"/>
    <w:rsid w:val="006F149A"/>
    <w:rsid w:val="006F1B44"/>
    <w:rsid w:val="006F2097"/>
    <w:rsid w:val="006F229F"/>
    <w:rsid w:val="006F2F4A"/>
    <w:rsid w:val="006F37F0"/>
    <w:rsid w:val="006F6A0F"/>
    <w:rsid w:val="007005FD"/>
    <w:rsid w:val="00700D81"/>
    <w:rsid w:val="007012A0"/>
    <w:rsid w:val="00702488"/>
    <w:rsid w:val="00702A29"/>
    <w:rsid w:val="007036F9"/>
    <w:rsid w:val="00704CB0"/>
    <w:rsid w:val="00706068"/>
    <w:rsid w:val="0070665C"/>
    <w:rsid w:val="007107AF"/>
    <w:rsid w:val="007112A9"/>
    <w:rsid w:val="007118C6"/>
    <w:rsid w:val="00712265"/>
    <w:rsid w:val="00713DBF"/>
    <w:rsid w:val="007174AF"/>
    <w:rsid w:val="0072195D"/>
    <w:rsid w:val="007227D0"/>
    <w:rsid w:val="00723839"/>
    <w:rsid w:val="00724595"/>
    <w:rsid w:val="00724E63"/>
    <w:rsid w:val="00724F64"/>
    <w:rsid w:val="00733827"/>
    <w:rsid w:val="00736E0B"/>
    <w:rsid w:val="007407EE"/>
    <w:rsid w:val="007424DC"/>
    <w:rsid w:val="00742833"/>
    <w:rsid w:val="00743745"/>
    <w:rsid w:val="0074406B"/>
    <w:rsid w:val="00744E0A"/>
    <w:rsid w:val="007451A2"/>
    <w:rsid w:val="007459E1"/>
    <w:rsid w:val="00745AF7"/>
    <w:rsid w:val="007473A4"/>
    <w:rsid w:val="00747A74"/>
    <w:rsid w:val="00750ED1"/>
    <w:rsid w:val="00752587"/>
    <w:rsid w:val="00754022"/>
    <w:rsid w:val="007613E5"/>
    <w:rsid w:val="00765D83"/>
    <w:rsid w:val="007676EE"/>
    <w:rsid w:val="00767B12"/>
    <w:rsid w:val="00771392"/>
    <w:rsid w:val="00771761"/>
    <w:rsid w:val="00772374"/>
    <w:rsid w:val="00772A4F"/>
    <w:rsid w:val="00774690"/>
    <w:rsid w:val="0077648D"/>
    <w:rsid w:val="00781834"/>
    <w:rsid w:val="00782AD2"/>
    <w:rsid w:val="00784783"/>
    <w:rsid w:val="00785A1C"/>
    <w:rsid w:val="007861FA"/>
    <w:rsid w:val="00786B8E"/>
    <w:rsid w:val="0078727A"/>
    <w:rsid w:val="007907D2"/>
    <w:rsid w:val="00791BCB"/>
    <w:rsid w:val="0079349A"/>
    <w:rsid w:val="007955BB"/>
    <w:rsid w:val="0079748E"/>
    <w:rsid w:val="007A07D7"/>
    <w:rsid w:val="007A14D7"/>
    <w:rsid w:val="007A2156"/>
    <w:rsid w:val="007A70F5"/>
    <w:rsid w:val="007B26FC"/>
    <w:rsid w:val="007B2DB0"/>
    <w:rsid w:val="007B30B0"/>
    <w:rsid w:val="007B344F"/>
    <w:rsid w:val="007B408E"/>
    <w:rsid w:val="007B6110"/>
    <w:rsid w:val="007B67FF"/>
    <w:rsid w:val="007C1314"/>
    <w:rsid w:val="007C36B0"/>
    <w:rsid w:val="007C36F9"/>
    <w:rsid w:val="007C4318"/>
    <w:rsid w:val="007C52D4"/>
    <w:rsid w:val="007D09E9"/>
    <w:rsid w:val="007D0CFB"/>
    <w:rsid w:val="007D3659"/>
    <w:rsid w:val="007D3C76"/>
    <w:rsid w:val="007D5991"/>
    <w:rsid w:val="007D6E9C"/>
    <w:rsid w:val="007E251D"/>
    <w:rsid w:val="007E3438"/>
    <w:rsid w:val="007E4386"/>
    <w:rsid w:val="007E4853"/>
    <w:rsid w:val="007E4C26"/>
    <w:rsid w:val="007E5CDD"/>
    <w:rsid w:val="007F4CC7"/>
    <w:rsid w:val="00800907"/>
    <w:rsid w:val="008009C1"/>
    <w:rsid w:val="008011FD"/>
    <w:rsid w:val="00801FD0"/>
    <w:rsid w:val="00802197"/>
    <w:rsid w:val="00804075"/>
    <w:rsid w:val="00811A8B"/>
    <w:rsid w:val="008146EA"/>
    <w:rsid w:val="00815819"/>
    <w:rsid w:val="00820D5B"/>
    <w:rsid w:val="00825DFD"/>
    <w:rsid w:val="0082786F"/>
    <w:rsid w:val="00827A89"/>
    <w:rsid w:val="00827F51"/>
    <w:rsid w:val="00830DEC"/>
    <w:rsid w:val="008313BF"/>
    <w:rsid w:val="00832F32"/>
    <w:rsid w:val="00833849"/>
    <w:rsid w:val="00833F28"/>
    <w:rsid w:val="00835F5D"/>
    <w:rsid w:val="0083633B"/>
    <w:rsid w:val="00837218"/>
    <w:rsid w:val="0083796B"/>
    <w:rsid w:val="008441F5"/>
    <w:rsid w:val="00845219"/>
    <w:rsid w:val="008452EF"/>
    <w:rsid w:val="008541CC"/>
    <w:rsid w:val="00862E5C"/>
    <w:rsid w:val="008632D4"/>
    <w:rsid w:val="00864E05"/>
    <w:rsid w:val="00866988"/>
    <w:rsid w:val="00866C12"/>
    <w:rsid w:val="008675F8"/>
    <w:rsid w:val="00876F10"/>
    <w:rsid w:val="0088189F"/>
    <w:rsid w:val="008832B8"/>
    <w:rsid w:val="00883523"/>
    <w:rsid w:val="008845BC"/>
    <w:rsid w:val="00885C4A"/>
    <w:rsid w:val="008873E5"/>
    <w:rsid w:val="008914CD"/>
    <w:rsid w:val="00892361"/>
    <w:rsid w:val="00893399"/>
    <w:rsid w:val="00893960"/>
    <w:rsid w:val="00894C7A"/>
    <w:rsid w:val="008A0527"/>
    <w:rsid w:val="008A22AA"/>
    <w:rsid w:val="008A2BFD"/>
    <w:rsid w:val="008A2E14"/>
    <w:rsid w:val="008A30EC"/>
    <w:rsid w:val="008A4045"/>
    <w:rsid w:val="008A45D8"/>
    <w:rsid w:val="008A6701"/>
    <w:rsid w:val="008B025A"/>
    <w:rsid w:val="008B040B"/>
    <w:rsid w:val="008B0F9D"/>
    <w:rsid w:val="008B12C0"/>
    <w:rsid w:val="008B1799"/>
    <w:rsid w:val="008B1DE5"/>
    <w:rsid w:val="008B20CF"/>
    <w:rsid w:val="008B584B"/>
    <w:rsid w:val="008B6176"/>
    <w:rsid w:val="008B647D"/>
    <w:rsid w:val="008C1237"/>
    <w:rsid w:val="008C40AD"/>
    <w:rsid w:val="008C40B0"/>
    <w:rsid w:val="008C5643"/>
    <w:rsid w:val="008C5E04"/>
    <w:rsid w:val="008C5F29"/>
    <w:rsid w:val="008C78DB"/>
    <w:rsid w:val="008C7DF4"/>
    <w:rsid w:val="008C7FA8"/>
    <w:rsid w:val="008D215A"/>
    <w:rsid w:val="008D7B69"/>
    <w:rsid w:val="008E4BE1"/>
    <w:rsid w:val="008E598A"/>
    <w:rsid w:val="008E59D7"/>
    <w:rsid w:val="008F3059"/>
    <w:rsid w:val="008F573F"/>
    <w:rsid w:val="00900D92"/>
    <w:rsid w:val="009028C2"/>
    <w:rsid w:val="009050FF"/>
    <w:rsid w:val="00911B2E"/>
    <w:rsid w:val="0091255B"/>
    <w:rsid w:val="0091355C"/>
    <w:rsid w:val="009145C4"/>
    <w:rsid w:val="00921B78"/>
    <w:rsid w:val="0092212A"/>
    <w:rsid w:val="00922DFA"/>
    <w:rsid w:val="00924CAF"/>
    <w:rsid w:val="009279F0"/>
    <w:rsid w:val="00932A2F"/>
    <w:rsid w:val="00933F7D"/>
    <w:rsid w:val="009363C5"/>
    <w:rsid w:val="00936643"/>
    <w:rsid w:val="00937870"/>
    <w:rsid w:val="00940A12"/>
    <w:rsid w:val="00943F0A"/>
    <w:rsid w:val="00944211"/>
    <w:rsid w:val="0094512B"/>
    <w:rsid w:val="0094534F"/>
    <w:rsid w:val="0094683C"/>
    <w:rsid w:val="00950139"/>
    <w:rsid w:val="00950D77"/>
    <w:rsid w:val="00950E08"/>
    <w:rsid w:val="0095372C"/>
    <w:rsid w:val="00954138"/>
    <w:rsid w:val="0095448F"/>
    <w:rsid w:val="00954744"/>
    <w:rsid w:val="009553F1"/>
    <w:rsid w:val="00957270"/>
    <w:rsid w:val="00957F38"/>
    <w:rsid w:val="0096076C"/>
    <w:rsid w:val="009615C1"/>
    <w:rsid w:val="00966636"/>
    <w:rsid w:val="009673D1"/>
    <w:rsid w:val="00970A1E"/>
    <w:rsid w:val="00971BA9"/>
    <w:rsid w:val="00973ACD"/>
    <w:rsid w:val="00976098"/>
    <w:rsid w:val="009811F7"/>
    <w:rsid w:val="0098489A"/>
    <w:rsid w:val="009856D2"/>
    <w:rsid w:val="009906CB"/>
    <w:rsid w:val="00990E3D"/>
    <w:rsid w:val="009922CA"/>
    <w:rsid w:val="009926EC"/>
    <w:rsid w:val="00993D14"/>
    <w:rsid w:val="00994070"/>
    <w:rsid w:val="009945BB"/>
    <w:rsid w:val="0099540C"/>
    <w:rsid w:val="009968BE"/>
    <w:rsid w:val="009A1C3D"/>
    <w:rsid w:val="009A37E2"/>
    <w:rsid w:val="009A4728"/>
    <w:rsid w:val="009B21C9"/>
    <w:rsid w:val="009B2EFC"/>
    <w:rsid w:val="009B341D"/>
    <w:rsid w:val="009B37EC"/>
    <w:rsid w:val="009B440F"/>
    <w:rsid w:val="009B5192"/>
    <w:rsid w:val="009B6653"/>
    <w:rsid w:val="009B6B55"/>
    <w:rsid w:val="009B6E0D"/>
    <w:rsid w:val="009B7D32"/>
    <w:rsid w:val="009C2E85"/>
    <w:rsid w:val="009C37F5"/>
    <w:rsid w:val="009C7D60"/>
    <w:rsid w:val="009D3B9B"/>
    <w:rsid w:val="009D4899"/>
    <w:rsid w:val="009D766F"/>
    <w:rsid w:val="009D7A5C"/>
    <w:rsid w:val="009D7B21"/>
    <w:rsid w:val="009E0420"/>
    <w:rsid w:val="009E0CDD"/>
    <w:rsid w:val="009E0ED7"/>
    <w:rsid w:val="009E1F7F"/>
    <w:rsid w:val="009E43F4"/>
    <w:rsid w:val="009E4A8D"/>
    <w:rsid w:val="009E4C88"/>
    <w:rsid w:val="009E565C"/>
    <w:rsid w:val="009E5C22"/>
    <w:rsid w:val="009F033C"/>
    <w:rsid w:val="009F0708"/>
    <w:rsid w:val="009F232F"/>
    <w:rsid w:val="009F398C"/>
    <w:rsid w:val="009F3E82"/>
    <w:rsid w:val="00A01050"/>
    <w:rsid w:val="00A069A8"/>
    <w:rsid w:val="00A0766B"/>
    <w:rsid w:val="00A10CDE"/>
    <w:rsid w:val="00A10F71"/>
    <w:rsid w:val="00A13907"/>
    <w:rsid w:val="00A1588B"/>
    <w:rsid w:val="00A16D25"/>
    <w:rsid w:val="00A16DD4"/>
    <w:rsid w:val="00A235F8"/>
    <w:rsid w:val="00A24F6A"/>
    <w:rsid w:val="00A25DF1"/>
    <w:rsid w:val="00A3128D"/>
    <w:rsid w:val="00A31892"/>
    <w:rsid w:val="00A33467"/>
    <w:rsid w:val="00A363F0"/>
    <w:rsid w:val="00A364E8"/>
    <w:rsid w:val="00A36F20"/>
    <w:rsid w:val="00A4202C"/>
    <w:rsid w:val="00A43072"/>
    <w:rsid w:val="00A44EC0"/>
    <w:rsid w:val="00A50F25"/>
    <w:rsid w:val="00A50F5B"/>
    <w:rsid w:val="00A51B6E"/>
    <w:rsid w:val="00A53064"/>
    <w:rsid w:val="00A54CF0"/>
    <w:rsid w:val="00A5571F"/>
    <w:rsid w:val="00A55E9F"/>
    <w:rsid w:val="00A620B1"/>
    <w:rsid w:val="00A6213F"/>
    <w:rsid w:val="00A66385"/>
    <w:rsid w:val="00A66A0C"/>
    <w:rsid w:val="00A6713E"/>
    <w:rsid w:val="00A705F2"/>
    <w:rsid w:val="00A71E74"/>
    <w:rsid w:val="00A74A73"/>
    <w:rsid w:val="00A777CB"/>
    <w:rsid w:val="00A80B94"/>
    <w:rsid w:val="00A80DA2"/>
    <w:rsid w:val="00A80EC0"/>
    <w:rsid w:val="00A81ACE"/>
    <w:rsid w:val="00A847AD"/>
    <w:rsid w:val="00A853EA"/>
    <w:rsid w:val="00A87036"/>
    <w:rsid w:val="00A87C4F"/>
    <w:rsid w:val="00A9348E"/>
    <w:rsid w:val="00A93BC3"/>
    <w:rsid w:val="00A947F6"/>
    <w:rsid w:val="00A954BA"/>
    <w:rsid w:val="00A96531"/>
    <w:rsid w:val="00A96BBF"/>
    <w:rsid w:val="00A97D0B"/>
    <w:rsid w:val="00AA2F24"/>
    <w:rsid w:val="00AA4625"/>
    <w:rsid w:val="00AA6C39"/>
    <w:rsid w:val="00AA7583"/>
    <w:rsid w:val="00AA77FE"/>
    <w:rsid w:val="00AB1ABD"/>
    <w:rsid w:val="00AB2393"/>
    <w:rsid w:val="00AB2A31"/>
    <w:rsid w:val="00AB419E"/>
    <w:rsid w:val="00AB5DFC"/>
    <w:rsid w:val="00AB79E9"/>
    <w:rsid w:val="00AC4FFC"/>
    <w:rsid w:val="00AC5708"/>
    <w:rsid w:val="00AC59B5"/>
    <w:rsid w:val="00AD19A8"/>
    <w:rsid w:val="00AD1B94"/>
    <w:rsid w:val="00AD23E5"/>
    <w:rsid w:val="00AD2984"/>
    <w:rsid w:val="00AD37B0"/>
    <w:rsid w:val="00AE332E"/>
    <w:rsid w:val="00AE4053"/>
    <w:rsid w:val="00AE406A"/>
    <w:rsid w:val="00AE4F0E"/>
    <w:rsid w:val="00AE64C3"/>
    <w:rsid w:val="00AE6D0C"/>
    <w:rsid w:val="00AF1E23"/>
    <w:rsid w:val="00AF3958"/>
    <w:rsid w:val="00AF3E52"/>
    <w:rsid w:val="00AF6B6F"/>
    <w:rsid w:val="00AF7FB2"/>
    <w:rsid w:val="00B0196F"/>
    <w:rsid w:val="00B023EB"/>
    <w:rsid w:val="00B0428C"/>
    <w:rsid w:val="00B110E6"/>
    <w:rsid w:val="00B133A4"/>
    <w:rsid w:val="00B14BE3"/>
    <w:rsid w:val="00B15FE0"/>
    <w:rsid w:val="00B231EE"/>
    <w:rsid w:val="00B268F7"/>
    <w:rsid w:val="00B328F8"/>
    <w:rsid w:val="00B32E92"/>
    <w:rsid w:val="00B32EFA"/>
    <w:rsid w:val="00B333D3"/>
    <w:rsid w:val="00B34364"/>
    <w:rsid w:val="00B35943"/>
    <w:rsid w:val="00B36B4A"/>
    <w:rsid w:val="00B46286"/>
    <w:rsid w:val="00B463F4"/>
    <w:rsid w:val="00B46540"/>
    <w:rsid w:val="00B50D8D"/>
    <w:rsid w:val="00B51AE1"/>
    <w:rsid w:val="00B5241F"/>
    <w:rsid w:val="00B5247C"/>
    <w:rsid w:val="00B52856"/>
    <w:rsid w:val="00B5435A"/>
    <w:rsid w:val="00B54AE6"/>
    <w:rsid w:val="00B55CEC"/>
    <w:rsid w:val="00B609B9"/>
    <w:rsid w:val="00B622E3"/>
    <w:rsid w:val="00B65724"/>
    <w:rsid w:val="00B657BF"/>
    <w:rsid w:val="00B66D18"/>
    <w:rsid w:val="00B67ED6"/>
    <w:rsid w:val="00B7316E"/>
    <w:rsid w:val="00B7357F"/>
    <w:rsid w:val="00B735E5"/>
    <w:rsid w:val="00B74B6F"/>
    <w:rsid w:val="00B75CA7"/>
    <w:rsid w:val="00B76132"/>
    <w:rsid w:val="00B772DC"/>
    <w:rsid w:val="00B77AE4"/>
    <w:rsid w:val="00B77E65"/>
    <w:rsid w:val="00B82A2E"/>
    <w:rsid w:val="00B87828"/>
    <w:rsid w:val="00B87A2D"/>
    <w:rsid w:val="00B90C6A"/>
    <w:rsid w:val="00B91CF1"/>
    <w:rsid w:val="00B92227"/>
    <w:rsid w:val="00B928CB"/>
    <w:rsid w:val="00B92E6D"/>
    <w:rsid w:val="00B9376A"/>
    <w:rsid w:val="00B94C3E"/>
    <w:rsid w:val="00B9663D"/>
    <w:rsid w:val="00BA030C"/>
    <w:rsid w:val="00BA1BB9"/>
    <w:rsid w:val="00BA2FDD"/>
    <w:rsid w:val="00BA77ED"/>
    <w:rsid w:val="00BB0C2D"/>
    <w:rsid w:val="00BB2EA7"/>
    <w:rsid w:val="00BB353B"/>
    <w:rsid w:val="00BB448D"/>
    <w:rsid w:val="00BB7992"/>
    <w:rsid w:val="00BB7DD7"/>
    <w:rsid w:val="00BB7F68"/>
    <w:rsid w:val="00BC05F9"/>
    <w:rsid w:val="00BC2417"/>
    <w:rsid w:val="00BC4E0F"/>
    <w:rsid w:val="00BC52B9"/>
    <w:rsid w:val="00BC6D50"/>
    <w:rsid w:val="00BD0B13"/>
    <w:rsid w:val="00BD5331"/>
    <w:rsid w:val="00BD5B33"/>
    <w:rsid w:val="00BD6BB6"/>
    <w:rsid w:val="00BD77D1"/>
    <w:rsid w:val="00BE2D78"/>
    <w:rsid w:val="00BE5544"/>
    <w:rsid w:val="00BE5C63"/>
    <w:rsid w:val="00BE5E81"/>
    <w:rsid w:val="00BF20B8"/>
    <w:rsid w:val="00BF3601"/>
    <w:rsid w:val="00BF4110"/>
    <w:rsid w:val="00BF4665"/>
    <w:rsid w:val="00BF4906"/>
    <w:rsid w:val="00BF4D59"/>
    <w:rsid w:val="00BF76A0"/>
    <w:rsid w:val="00C00DAF"/>
    <w:rsid w:val="00C0361C"/>
    <w:rsid w:val="00C04554"/>
    <w:rsid w:val="00C06541"/>
    <w:rsid w:val="00C07408"/>
    <w:rsid w:val="00C10D71"/>
    <w:rsid w:val="00C200AF"/>
    <w:rsid w:val="00C21EF5"/>
    <w:rsid w:val="00C22D76"/>
    <w:rsid w:val="00C22ECF"/>
    <w:rsid w:val="00C271B2"/>
    <w:rsid w:val="00C31F1E"/>
    <w:rsid w:val="00C32B9B"/>
    <w:rsid w:val="00C36E39"/>
    <w:rsid w:val="00C379C2"/>
    <w:rsid w:val="00C40096"/>
    <w:rsid w:val="00C412C0"/>
    <w:rsid w:val="00C427CC"/>
    <w:rsid w:val="00C46371"/>
    <w:rsid w:val="00C47611"/>
    <w:rsid w:val="00C47FCC"/>
    <w:rsid w:val="00C5223D"/>
    <w:rsid w:val="00C52684"/>
    <w:rsid w:val="00C6070C"/>
    <w:rsid w:val="00C60FCF"/>
    <w:rsid w:val="00C63463"/>
    <w:rsid w:val="00C635CE"/>
    <w:rsid w:val="00C66AFC"/>
    <w:rsid w:val="00C7065E"/>
    <w:rsid w:val="00C714D9"/>
    <w:rsid w:val="00C71BCC"/>
    <w:rsid w:val="00C73338"/>
    <w:rsid w:val="00C73FA4"/>
    <w:rsid w:val="00C741CE"/>
    <w:rsid w:val="00C75818"/>
    <w:rsid w:val="00C76AA5"/>
    <w:rsid w:val="00C82024"/>
    <w:rsid w:val="00C8356D"/>
    <w:rsid w:val="00C838FE"/>
    <w:rsid w:val="00C83967"/>
    <w:rsid w:val="00C84AB9"/>
    <w:rsid w:val="00C84D10"/>
    <w:rsid w:val="00C8541E"/>
    <w:rsid w:val="00C86E47"/>
    <w:rsid w:val="00C90426"/>
    <w:rsid w:val="00C90D41"/>
    <w:rsid w:val="00C91DF1"/>
    <w:rsid w:val="00C91FD5"/>
    <w:rsid w:val="00C94CD2"/>
    <w:rsid w:val="00C96A95"/>
    <w:rsid w:val="00C96F63"/>
    <w:rsid w:val="00CA0DDC"/>
    <w:rsid w:val="00CA1360"/>
    <w:rsid w:val="00CA1AE6"/>
    <w:rsid w:val="00CA250A"/>
    <w:rsid w:val="00CA3D0E"/>
    <w:rsid w:val="00CA3D4C"/>
    <w:rsid w:val="00CA539D"/>
    <w:rsid w:val="00CA5F3A"/>
    <w:rsid w:val="00CA63F2"/>
    <w:rsid w:val="00CA6BFF"/>
    <w:rsid w:val="00CA6CF7"/>
    <w:rsid w:val="00CA7FDA"/>
    <w:rsid w:val="00CB41F3"/>
    <w:rsid w:val="00CC0D26"/>
    <w:rsid w:val="00CC1157"/>
    <w:rsid w:val="00CC1948"/>
    <w:rsid w:val="00CC36FB"/>
    <w:rsid w:val="00CC387E"/>
    <w:rsid w:val="00CC438C"/>
    <w:rsid w:val="00CC75B3"/>
    <w:rsid w:val="00CC7BE0"/>
    <w:rsid w:val="00CD26F9"/>
    <w:rsid w:val="00CD431E"/>
    <w:rsid w:val="00CD4C27"/>
    <w:rsid w:val="00CD5D58"/>
    <w:rsid w:val="00CD700E"/>
    <w:rsid w:val="00CE14F6"/>
    <w:rsid w:val="00CE46A6"/>
    <w:rsid w:val="00CE7176"/>
    <w:rsid w:val="00CF09DA"/>
    <w:rsid w:val="00CF0EE1"/>
    <w:rsid w:val="00CF2257"/>
    <w:rsid w:val="00CF4A93"/>
    <w:rsid w:val="00CF5F76"/>
    <w:rsid w:val="00CF7812"/>
    <w:rsid w:val="00D01953"/>
    <w:rsid w:val="00D0287C"/>
    <w:rsid w:val="00D064C2"/>
    <w:rsid w:val="00D078BF"/>
    <w:rsid w:val="00D0794C"/>
    <w:rsid w:val="00D07A22"/>
    <w:rsid w:val="00D14EC7"/>
    <w:rsid w:val="00D1504B"/>
    <w:rsid w:val="00D16E0D"/>
    <w:rsid w:val="00D2055B"/>
    <w:rsid w:val="00D21EB5"/>
    <w:rsid w:val="00D23AB2"/>
    <w:rsid w:val="00D2462B"/>
    <w:rsid w:val="00D2700E"/>
    <w:rsid w:val="00D362E5"/>
    <w:rsid w:val="00D370DC"/>
    <w:rsid w:val="00D43732"/>
    <w:rsid w:val="00D43A08"/>
    <w:rsid w:val="00D4693B"/>
    <w:rsid w:val="00D47D37"/>
    <w:rsid w:val="00D47FF1"/>
    <w:rsid w:val="00D5096D"/>
    <w:rsid w:val="00D50C4B"/>
    <w:rsid w:val="00D50CE7"/>
    <w:rsid w:val="00D50FEC"/>
    <w:rsid w:val="00D548E5"/>
    <w:rsid w:val="00D55E54"/>
    <w:rsid w:val="00D5679C"/>
    <w:rsid w:val="00D57AC2"/>
    <w:rsid w:val="00D57DF0"/>
    <w:rsid w:val="00D61802"/>
    <w:rsid w:val="00D62EC7"/>
    <w:rsid w:val="00D63AF6"/>
    <w:rsid w:val="00D64C61"/>
    <w:rsid w:val="00D67232"/>
    <w:rsid w:val="00D70753"/>
    <w:rsid w:val="00D71B38"/>
    <w:rsid w:val="00D7366F"/>
    <w:rsid w:val="00D75E15"/>
    <w:rsid w:val="00D77F06"/>
    <w:rsid w:val="00D805C0"/>
    <w:rsid w:val="00D826E5"/>
    <w:rsid w:val="00D8457A"/>
    <w:rsid w:val="00D85414"/>
    <w:rsid w:val="00D854E2"/>
    <w:rsid w:val="00D8648D"/>
    <w:rsid w:val="00D869E2"/>
    <w:rsid w:val="00D86DCE"/>
    <w:rsid w:val="00D9136A"/>
    <w:rsid w:val="00D9435A"/>
    <w:rsid w:val="00D947D0"/>
    <w:rsid w:val="00D9606A"/>
    <w:rsid w:val="00D960E6"/>
    <w:rsid w:val="00DA268A"/>
    <w:rsid w:val="00DA3727"/>
    <w:rsid w:val="00DA4BEE"/>
    <w:rsid w:val="00DA4FCA"/>
    <w:rsid w:val="00DA6911"/>
    <w:rsid w:val="00DA78A4"/>
    <w:rsid w:val="00DA78B4"/>
    <w:rsid w:val="00DA7B2B"/>
    <w:rsid w:val="00DB5969"/>
    <w:rsid w:val="00DB5A01"/>
    <w:rsid w:val="00DB5AD1"/>
    <w:rsid w:val="00DB5D2C"/>
    <w:rsid w:val="00DB6F64"/>
    <w:rsid w:val="00DB715D"/>
    <w:rsid w:val="00DC1961"/>
    <w:rsid w:val="00DC4B3B"/>
    <w:rsid w:val="00DD3BB8"/>
    <w:rsid w:val="00DD407B"/>
    <w:rsid w:val="00DD4E05"/>
    <w:rsid w:val="00DD6B5D"/>
    <w:rsid w:val="00DD7282"/>
    <w:rsid w:val="00DD7F65"/>
    <w:rsid w:val="00DE1DD4"/>
    <w:rsid w:val="00DE2CDB"/>
    <w:rsid w:val="00DE3954"/>
    <w:rsid w:val="00DE4C2D"/>
    <w:rsid w:val="00DE529B"/>
    <w:rsid w:val="00DE6F99"/>
    <w:rsid w:val="00DF110A"/>
    <w:rsid w:val="00DF21C0"/>
    <w:rsid w:val="00DF3AC7"/>
    <w:rsid w:val="00DF419D"/>
    <w:rsid w:val="00DF6701"/>
    <w:rsid w:val="00E00C5D"/>
    <w:rsid w:val="00E038F1"/>
    <w:rsid w:val="00E03F7A"/>
    <w:rsid w:val="00E106E0"/>
    <w:rsid w:val="00E123B8"/>
    <w:rsid w:val="00E14957"/>
    <w:rsid w:val="00E21EDC"/>
    <w:rsid w:val="00E23C25"/>
    <w:rsid w:val="00E25FCC"/>
    <w:rsid w:val="00E31824"/>
    <w:rsid w:val="00E31DB1"/>
    <w:rsid w:val="00E344EB"/>
    <w:rsid w:val="00E34A40"/>
    <w:rsid w:val="00E35711"/>
    <w:rsid w:val="00E35FB5"/>
    <w:rsid w:val="00E374F1"/>
    <w:rsid w:val="00E37933"/>
    <w:rsid w:val="00E45E2E"/>
    <w:rsid w:val="00E46764"/>
    <w:rsid w:val="00E47CCD"/>
    <w:rsid w:val="00E57E92"/>
    <w:rsid w:val="00E61CDE"/>
    <w:rsid w:val="00E639CA"/>
    <w:rsid w:val="00E675F4"/>
    <w:rsid w:val="00E70737"/>
    <w:rsid w:val="00E70CC0"/>
    <w:rsid w:val="00E70E48"/>
    <w:rsid w:val="00E721A9"/>
    <w:rsid w:val="00E7284F"/>
    <w:rsid w:val="00E732A2"/>
    <w:rsid w:val="00E74939"/>
    <w:rsid w:val="00E75634"/>
    <w:rsid w:val="00E76ACA"/>
    <w:rsid w:val="00E76BEB"/>
    <w:rsid w:val="00E77336"/>
    <w:rsid w:val="00E77D0D"/>
    <w:rsid w:val="00E77F60"/>
    <w:rsid w:val="00E82E53"/>
    <w:rsid w:val="00E82FBF"/>
    <w:rsid w:val="00E85399"/>
    <w:rsid w:val="00E85C17"/>
    <w:rsid w:val="00E86C39"/>
    <w:rsid w:val="00E93A03"/>
    <w:rsid w:val="00E93A97"/>
    <w:rsid w:val="00E93EA0"/>
    <w:rsid w:val="00E96FB1"/>
    <w:rsid w:val="00E97C63"/>
    <w:rsid w:val="00EA1512"/>
    <w:rsid w:val="00EA32FC"/>
    <w:rsid w:val="00EA3512"/>
    <w:rsid w:val="00EA5B61"/>
    <w:rsid w:val="00EB26BB"/>
    <w:rsid w:val="00EB26EA"/>
    <w:rsid w:val="00EB3BF5"/>
    <w:rsid w:val="00EB3CDE"/>
    <w:rsid w:val="00EB487D"/>
    <w:rsid w:val="00EB60C7"/>
    <w:rsid w:val="00EB6C56"/>
    <w:rsid w:val="00EB6E62"/>
    <w:rsid w:val="00EB706E"/>
    <w:rsid w:val="00EC0093"/>
    <w:rsid w:val="00EC2853"/>
    <w:rsid w:val="00EC547C"/>
    <w:rsid w:val="00EC6B71"/>
    <w:rsid w:val="00EC715D"/>
    <w:rsid w:val="00ED026B"/>
    <w:rsid w:val="00ED0F15"/>
    <w:rsid w:val="00ED1A1B"/>
    <w:rsid w:val="00ED27E1"/>
    <w:rsid w:val="00ED4BEC"/>
    <w:rsid w:val="00ED6ACA"/>
    <w:rsid w:val="00ED6EB9"/>
    <w:rsid w:val="00EE0BCF"/>
    <w:rsid w:val="00EE446E"/>
    <w:rsid w:val="00EE4890"/>
    <w:rsid w:val="00EE489B"/>
    <w:rsid w:val="00EE516D"/>
    <w:rsid w:val="00EE54DE"/>
    <w:rsid w:val="00EE657B"/>
    <w:rsid w:val="00EE6FED"/>
    <w:rsid w:val="00EF0E9C"/>
    <w:rsid w:val="00EF383D"/>
    <w:rsid w:val="00EF65F0"/>
    <w:rsid w:val="00F01152"/>
    <w:rsid w:val="00F0115C"/>
    <w:rsid w:val="00F0157C"/>
    <w:rsid w:val="00F015C9"/>
    <w:rsid w:val="00F02314"/>
    <w:rsid w:val="00F03449"/>
    <w:rsid w:val="00F03CD8"/>
    <w:rsid w:val="00F05FC1"/>
    <w:rsid w:val="00F12111"/>
    <w:rsid w:val="00F123BD"/>
    <w:rsid w:val="00F1284B"/>
    <w:rsid w:val="00F145C9"/>
    <w:rsid w:val="00F159AE"/>
    <w:rsid w:val="00F15A1F"/>
    <w:rsid w:val="00F15BBA"/>
    <w:rsid w:val="00F16BB5"/>
    <w:rsid w:val="00F2058C"/>
    <w:rsid w:val="00F22F04"/>
    <w:rsid w:val="00F236EE"/>
    <w:rsid w:val="00F24A2E"/>
    <w:rsid w:val="00F24ECC"/>
    <w:rsid w:val="00F26B68"/>
    <w:rsid w:val="00F27286"/>
    <w:rsid w:val="00F27B4C"/>
    <w:rsid w:val="00F304DF"/>
    <w:rsid w:val="00F32DF4"/>
    <w:rsid w:val="00F3351B"/>
    <w:rsid w:val="00F34270"/>
    <w:rsid w:val="00F3442B"/>
    <w:rsid w:val="00F41934"/>
    <w:rsid w:val="00F44C67"/>
    <w:rsid w:val="00F45830"/>
    <w:rsid w:val="00F5068F"/>
    <w:rsid w:val="00F51007"/>
    <w:rsid w:val="00F51A8B"/>
    <w:rsid w:val="00F53621"/>
    <w:rsid w:val="00F546F9"/>
    <w:rsid w:val="00F61050"/>
    <w:rsid w:val="00F6572F"/>
    <w:rsid w:val="00F65B36"/>
    <w:rsid w:val="00F80F16"/>
    <w:rsid w:val="00F80F7F"/>
    <w:rsid w:val="00F82BF9"/>
    <w:rsid w:val="00F82E69"/>
    <w:rsid w:val="00F84DA7"/>
    <w:rsid w:val="00F87197"/>
    <w:rsid w:val="00F91F37"/>
    <w:rsid w:val="00F94BA4"/>
    <w:rsid w:val="00F95F16"/>
    <w:rsid w:val="00FB229B"/>
    <w:rsid w:val="00FB23DC"/>
    <w:rsid w:val="00FB42E4"/>
    <w:rsid w:val="00FB46E2"/>
    <w:rsid w:val="00FB476E"/>
    <w:rsid w:val="00FB6739"/>
    <w:rsid w:val="00FB73DD"/>
    <w:rsid w:val="00FB7E44"/>
    <w:rsid w:val="00FC284D"/>
    <w:rsid w:val="00FC7100"/>
    <w:rsid w:val="00FD06EF"/>
    <w:rsid w:val="00FD174C"/>
    <w:rsid w:val="00FD401F"/>
    <w:rsid w:val="00FD4FC1"/>
    <w:rsid w:val="00FD51F8"/>
    <w:rsid w:val="00FD737D"/>
    <w:rsid w:val="00FE299B"/>
    <w:rsid w:val="00FE3F97"/>
    <w:rsid w:val="00FE4990"/>
    <w:rsid w:val="00FE4F7E"/>
    <w:rsid w:val="00FE50AA"/>
    <w:rsid w:val="00FE5A3F"/>
    <w:rsid w:val="00FF3BCB"/>
    <w:rsid w:val="00FF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606F0"/>
  <w15:chartTrackingRefBased/>
  <w15:docId w15:val="{D3826D53-3DF6-444E-80C8-A9DE0225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C11"/>
    <w:rPr>
      <w:sz w:val="24"/>
      <w:szCs w:val="24"/>
      <w:lang w:eastAsia="en-US"/>
    </w:rPr>
  </w:style>
  <w:style w:type="paragraph" w:styleId="Heading1">
    <w:name w:val="heading 1"/>
    <w:basedOn w:val="Normal"/>
    <w:next w:val="Normal"/>
    <w:link w:val="Heading1Char"/>
    <w:qFormat/>
    <w:rsid w:val="00D4693B"/>
    <w:pPr>
      <w:numPr>
        <w:numId w:val="60"/>
      </w:numPr>
      <w:spacing w:before="120" w:after="120"/>
      <w:ind w:left="709" w:hanging="709"/>
      <w:outlineLvl w:val="0"/>
    </w:pPr>
    <w:rPr>
      <w:rFonts w:ascii="Arial" w:eastAsia="Calibri" w:hAnsi="Arial" w:cs="Arial"/>
      <w:b/>
    </w:rPr>
  </w:style>
  <w:style w:type="paragraph" w:styleId="Heading2">
    <w:name w:val="heading 2"/>
    <w:basedOn w:val="Heading1"/>
    <w:next w:val="Normal"/>
    <w:link w:val="Heading2Char"/>
    <w:qFormat/>
    <w:rsid w:val="00D4693B"/>
    <w:pPr>
      <w:numPr>
        <w:ilvl w:val="1"/>
      </w:numPr>
      <w:ind w:left="709" w:hanging="709"/>
      <w:outlineLvl w:val="1"/>
    </w:pPr>
    <w:rPr>
      <w:b w:val="0"/>
      <w:iCs/>
      <w:szCs w:val="20"/>
    </w:rPr>
  </w:style>
  <w:style w:type="paragraph" w:styleId="Heading3">
    <w:name w:val="heading 3"/>
    <w:basedOn w:val="Heading2"/>
    <w:next w:val="Normal"/>
    <w:link w:val="Heading3Char"/>
    <w:unhideWhenUsed/>
    <w:qFormat/>
    <w:rsid w:val="00D4693B"/>
    <w:pPr>
      <w:numPr>
        <w:ilvl w:val="2"/>
      </w:numPr>
      <w:tabs>
        <w:tab w:val="left" w:pos="1560"/>
      </w:tabs>
      <w:ind w:left="1560" w:hanging="851"/>
      <w:outlineLvl w:val="2"/>
    </w:pPr>
  </w:style>
  <w:style w:type="paragraph" w:styleId="Heading4">
    <w:name w:val="heading 4"/>
    <w:basedOn w:val="Normal"/>
    <w:next w:val="Normal"/>
    <w:link w:val="Heading4Char"/>
    <w:semiHidden/>
    <w:unhideWhenUsed/>
    <w:qFormat/>
    <w:rsid w:val="002107F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D2"/>
    <w:pPr>
      <w:tabs>
        <w:tab w:val="center" w:pos="4320"/>
        <w:tab w:val="right" w:pos="8640"/>
      </w:tabs>
    </w:pPr>
  </w:style>
  <w:style w:type="paragraph" w:styleId="Footer">
    <w:name w:val="footer"/>
    <w:basedOn w:val="Normal"/>
    <w:link w:val="FooterChar"/>
    <w:uiPriority w:val="99"/>
    <w:rsid w:val="002A35D2"/>
    <w:pPr>
      <w:tabs>
        <w:tab w:val="center" w:pos="4320"/>
        <w:tab w:val="right" w:pos="8640"/>
      </w:tabs>
    </w:pPr>
    <w:rPr>
      <w:lang w:val="x-none"/>
    </w:rPr>
  </w:style>
  <w:style w:type="character" w:customStyle="1" w:styleId="FooterChar">
    <w:name w:val="Footer Char"/>
    <w:link w:val="Footer"/>
    <w:uiPriority w:val="99"/>
    <w:rsid w:val="007036F9"/>
    <w:rPr>
      <w:sz w:val="24"/>
      <w:szCs w:val="24"/>
      <w:lang w:eastAsia="en-US"/>
    </w:rPr>
  </w:style>
  <w:style w:type="paragraph" w:styleId="BalloonText">
    <w:name w:val="Balloon Text"/>
    <w:basedOn w:val="Normal"/>
    <w:semiHidden/>
    <w:rsid w:val="004D0FCF"/>
    <w:rPr>
      <w:rFonts w:ascii="Tahoma" w:hAnsi="Tahoma" w:cs="Tahoma"/>
      <w:sz w:val="16"/>
      <w:szCs w:val="16"/>
    </w:rPr>
  </w:style>
  <w:style w:type="table" w:styleId="TableGrid">
    <w:name w:val="Table Grid"/>
    <w:basedOn w:val="TableNormal"/>
    <w:uiPriority w:val="59"/>
    <w:rsid w:val="0032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64C2"/>
    <w:rPr>
      <w:sz w:val="20"/>
      <w:szCs w:val="20"/>
      <w:lang w:val="x-none"/>
    </w:rPr>
  </w:style>
  <w:style w:type="character" w:customStyle="1" w:styleId="FootnoteTextChar">
    <w:name w:val="Footnote Text Char"/>
    <w:link w:val="FootnoteText"/>
    <w:rsid w:val="00D064C2"/>
    <w:rPr>
      <w:lang w:eastAsia="en-US"/>
    </w:rPr>
  </w:style>
  <w:style w:type="character" w:styleId="FootnoteReference">
    <w:name w:val="footnote reference"/>
    <w:rsid w:val="00D064C2"/>
    <w:rPr>
      <w:vertAlign w:val="superscript"/>
    </w:rPr>
  </w:style>
  <w:style w:type="paragraph" w:styleId="ListParagraph">
    <w:name w:val="List Paragraph"/>
    <w:basedOn w:val="Normal"/>
    <w:link w:val="ListParagraphChar"/>
    <w:uiPriority w:val="34"/>
    <w:qFormat/>
    <w:rsid w:val="008C78DB"/>
    <w:pPr>
      <w:ind w:left="720"/>
      <w:contextualSpacing/>
    </w:pPr>
    <w:rPr>
      <w:rFonts w:ascii="Arial" w:eastAsia="Calibri" w:hAnsi="Arial" w:cs="Arial"/>
    </w:rPr>
  </w:style>
  <w:style w:type="character" w:styleId="Hyperlink">
    <w:name w:val="Hyperlink"/>
    <w:rsid w:val="005C0ABA"/>
    <w:rPr>
      <w:color w:val="0000FF"/>
      <w:u w:val="single"/>
    </w:rPr>
  </w:style>
  <w:style w:type="paragraph" w:styleId="ListBullet">
    <w:name w:val="List Bullet"/>
    <w:basedOn w:val="Normal"/>
    <w:rsid w:val="007036F9"/>
    <w:pPr>
      <w:numPr>
        <w:numId w:val="11"/>
      </w:numPr>
      <w:contextualSpacing/>
    </w:pPr>
  </w:style>
  <w:style w:type="paragraph" w:customStyle="1" w:styleId="Default">
    <w:name w:val="Default"/>
    <w:rsid w:val="00DF21C0"/>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unhideWhenUsed/>
    <w:rsid w:val="001D3C1F"/>
    <w:rPr>
      <w:color w:val="800080"/>
      <w:u w:val="single"/>
    </w:rPr>
  </w:style>
  <w:style w:type="character" w:styleId="CommentReference">
    <w:name w:val="annotation reference"/>
    <w:rsid w:val="00265EA1"/>
    <w:rPr>
      <w:sz w:val="16"/>
      <w:szCs w:val="16"/>
    </w:rPr>
  </w:style>
  <w:style w:type="paragraph" w:styleId="CommentText">
    <w:name w:val="annotation text"/>
    <w:basedOn w:val="Normal"/>
    <w:link w:val="CommentTextChar"/>
    <w:rsid w:val="00265EA1"/>
    <w:rPr>
      <w:sz w:val="20"/>
      <w:szCs w:val="20"/>
    </w:rPr>
  </w:style>
  <w:style w:type="character" w:customStyle="1" w:styleId="CommentTextChar">
    <w:name w:val="Comment Text Char"/>
    <w:link w:val="CommentText"/>
    <w:rsid w:val="00265EA1"/>
    <w:rPr>
      <w:lang w:eastAsia="en-US"/>
    </w:rPr>
  </w:style>
  <w:style w:type="paragraph" w:styleId="CommentSubject">
    <w:name w:val="annotation subject"/>
    <w:basedOn w:val="CommentText"/>
    <w:next w:val="CommentText"/>
    <w:link w:val="CommentSubjectChar"/>
    <w:rsid w:val="00265EA1"/>
    <w:rPr>
      <w:b/>
      <w:bCs/>
    </w:rPr>
  </w:style>
  <w:style w:type="character" w:customStyle="1" w:styleId="CommentSubjectChar">
    <w:name w:val="Comment Subject Char"/>
    <w:link w:val="CommentSubject"/>
    <w:rsid w:val="00265EA1"/>
    <w:rPr>
      <w:b/>
      <w:bCs/>
      <w:lang w:eastAsia="en-US"/>
    </w:rPr>
  </w:style>
  <w:style w:type="paragraph" w:styleId="NormalWeb">
    <w:name w:val="Normal (Web)"/>
    <w:basedOn w:val="Normal"/>
    <w:uiPriority w:val="99"/>
    <w:unhideWhenUsed/>
    <w:rsid w:val="00CD700E"/>
    <w:pPr>
      <w:spacing w:before="100" w:beforeAutospacing="1" w:after="100" w:afterAutospacing="1"/>
    </w:pPr>
    <w:rPr>
      <w:lang w:eastAsia="en-GB"/>
    </w:rPr>
  </w:style>
  <w:style w:type="character" w:styleId="UnresolvedMention">
    <w:name w:val="Unresolved Mention"/>
    <w:uiPriority w:val="99"/>
    <w:semiHidden/>
    <w:unhideWhenUsed/>
    <w:rsid w:val="007D3659"/>
    <w:rPr>
      <w:color w:val="605E5C"/>
      <w:shd w:val="clear" w:color="auto" w:fill="E1DFDD"/>
    </w:rPr>
  </w:style>
  <w:style w:type="character" w:customStyle="1" w:styleId="Heading1Char">
    <w:name w:val="Heading 1 Char"/>
    <w:link w:val="Heading1"/>
    <w:rsid w:val="00D4693B"/>
    <w:rPr>
      <w:rFonts w:ascii="Arial" w:eastAsia="Calibri" w:hAnsi="Arial" w:cs="Arial"/>
      <w:b/>
      <w:sz w:val="24"/>
      <w:szCs w:val="24"/>
      <w:lang w:eastAsia="en-US"/>
    </w:rPr>
  </w:style>
  <w:style w:type="character" w:customStyle="1" w:styleId="Heading2Char">
    <w:name w:val="Heading 2 Char"/>
    <w:link w:val="Heading2"/>
    <w:rsid w:val="00D4693B"/>
    <w:rPr>
      <w:rFonts w:ascii="Arial" w:eastAsia="Calibri" w:hAnsi="Arial" w:cs="Arial"/>
      <w:iCs/>
      <w:sz w:val="24"/>
      <w:lang w:eastAsia="en-US"/>
    </w:rPr>
  </w:style>
  <w:style w:type="character" w:customStyle="1" w:styleId="ListParagraphChar">
    <w:name w:val="List Paragraph Char"/>
    <w:link w:val="ListParagraph"/>
    <w:uiPriority w:val="34"/>
    <w:locked/>
    <w:rsid w:val="00D370DC"/>
    <w:rPr>
      <w:rFonts w:ascii="Arial" w:eastAsia="Calibri" w:hAnsi="Arial" w:cs="Arial"/>
      <w:sz w:val="24"/>
      <w:szCs w:val="24"/>
      <w:lang w:eastAsia="en-US"/>
    </w:rPr>
  </w:style>
  <w:style w:type="table" w:styleId="PlainTable1">
    <w:name w:val="Plain Table 1"/>
    <w:basedOn w:val="TableNormal"/>
    <w:uiPriority w:val="41"/>
    <w:rsid w:val="00D370D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link w:val="Heading3"/>
    <w:rsid w:val="00D4693B"/>
    <w:rPr>
      <w:rFonts w:ascii="Arial" w:eastAsia="Calibri" w:hAnsi="Arial" w:cs="Arial"/>
      <w:iCs/>
      <w:sz w:val="24"/>
      <w:lang w:eastAsia="en-US"/>
    </w:rPr>
  </w:style>
  <w:style w:type="character" w:customStyle="1" w:styleId="Heading4Char">
    <w:name w:val="Heading 4 Char"/>
    <w:basedOn w:val="DefaultParagraphFont"/>
    <w:link w:val="Heading4"/>
    <w:semiHidden/>
    <w:rsid w:val="002107F6"/>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877">
      <w:bodyDiv w:val="1"/>
      <w:marLeft w:val="0"/>
      <w:marRight w:val="0"/>
      <w:marTop w:val="0"/>
      <w:marBottom w:val="0"/>
      <w:divBdr>
        <w:top w:val="none" w:sz="0" w:space="0" w:color="auto"/>
        <w:left w:val="none" w:sz="0" w:space="0" w:color="auto"/>
        <w:bottom w:val="none" w:sz="0" w:space="0" w:color="auto"/>
        <w:right w:val="none" w:sz="0" w:space="0" w:color="auto"/>
      </w:divBdr>
    </w:div>
    <w:div w:id="87506093">
      <w:bodyDiv w:val="1"/>
      <w:marLeft w:val="0"/>
      <w:marRight w:val="0"/>
      <w:marTop w:val="0"/>
      <w:marBottom w:val="0"/>
      <w:divBdr>
        <w:top w:val="none" w:sz="0" w:space="0" w:color="auto"/>
        <w:left w:val="none" w:sz="0" w:space="0" w:color="auto"/>
        <w:bottom w:val="none" w:sz="0" w:space="0" w:color="auto"/>
        <w:right w:val="none" w:sz="0" w:space="0" w:color="auto"/>
      </w:divBdr>
    </w:div>
    <w:div w:id="326131400">
      <w:bodyDiv w:val="1"/>
      <w:marLeft w:val="0"/>
      <w:marRight w:val="0"/>
      <w:marTop w:val="0"/>
      <w:marBottom w:val="0"/>
      <w:divBdr>
        <w:top w:val="none" w:sz="0" w:space="0" w:color="auto"/>
        <w:left w:val="none" w:sz="0" w:space="0" w:color="auto"/>
        <w:bottom w:val="none" w:sz="0" w:space="0" w:color="auto"/>
        <w:right w:val="none" w:sz="0" w:space="0" w:color="auto"/>
      </w:divBdr>
    </w:div>
    <w:div w:id="352808353">
      <w:bodyDiv w:val="1"/>
      <w:marLeft w:val="0"/>
      <w:marRight w:val="0"/>
      <w:marTop w:val="0"/>
      <w:marBottom w:val="0"/>
      <w:divBdr>
        <w:top w:val="none" w:sz="0" w:space="0" w:color="auto"/>
        <w:left w:val="none" w:sz="0" w:space="0" w:color="auto"/>
        <w:bottom w:val="none" w:sz="0" w:space="0" w:color="auto"/>
        <w:right w:val="none" w:sz="0" w:space="0" w:color="auto"/>
      </w:divBdr>
    </w:div>
    <w:div w:id="514536449">
      <w:bodyDiv w:val="1"/>
      <w:marLeft w:val="0"/>
      <w:marRight w:val="0"/>
      <w:marTop w:val="0"/>
      <w:marBottom w:val="0"/>
      <w:divBdr>
        <w:top w:val="none" w:sz="0" w:space="0" w:color="auto"/>
        <w:left w:val="none" w:sz="0" w:space="0" w:color="auto"/>
        <w:bottom w:val="none" w:sz="0" w:space="0" w:color="auto"/>
        <w:right w:val="none" w:sz="0" w:space="0" w:color="auto"/>
      </w:divBdr>
    </w:div>
    <w:div w:id="529295346">
      <w:bodyDiv w:val="1"/>
      <w:marLeft w:val="0"/>
      <w:marRight w:val="0"/>
      <w:marTop w:val="0"/>
      <w:marBottom w:val="0"/>
      <w:divBdr>
        <w:top w:val="none" w:sz="0" w:space="0" w:color="auto"/>
        <w:left w:val="none" w:sz="0" w:space="0" w:color="auto"/>
        <w:bottom w:val="none" w:sz="0" w:space="0" w:color="auto"/>
        <w:right w:val="none" w:sz="0" w:space="0" w:color="auto"/>
      </w:divBdr>
    </w:div>
    <w:div w:id="587084841">
      <w:bodyDiv w:val="1"/>
      <w:marLeft w:val="0"/>
      <w:marRight w:val="0"/>
      <w:marTop w:val="0"/>
      <w:marBottom w:val="0"/>
      <w:divBdr>
        <w:top w:val="none" w:sz="0" w:space="0" w:color="auto"/>
        <w:left w:val="none" w:sz="0" w:space="0" w:color="auto"/>
        <w:bottom w:val="none" w:sz="0" w:space="0" w:color="auto"/>
        <w:right w:val="none" w:sz="0" w:space="0" w:color="auto"/>
      </w:divBdr>
    </w:div>
    <w:div w:id="697119629">
      <w:bodyDiv w:val="1"/>
      <w:marLeft w:val="0"/>
      <w:marRight w:val="0"/>
      <w:marTop w:val="0"/>
      <w:marBottom w:val="0"/>
      <w:divBdr>
        <w:top w:val="none" w:sz="0" w:space="0" w:color="auto"/>
        <w:left w:val="none" w:sz="0" w:space="0" w:color="auto"/>
        <w:bottom w:val="none" w:sz="0" w:space="0" w:color="auto"/>
        <w:right w:val="none" w:sz="0" w:space="0" w:color="auto"/>
      </w:divBdr>
    </w:div>
    <w:div w:id="716590486">
      <w:bodyDiv w:val="1"/>
      <w:marLeft w:val="0"/>
      <w:marRight w:val="0"/>
      <w:marTop w:val="0"/>
      <w:marBottom w:val="0"/>
      <w:divBdr>
        <w:top w:val="none" w:sz="0" w:space="0" w:color="auto"/>
        <w:left w:val="none" w:sz="0" w:space="0" w:color="auto"/>
        <w:bottom w:val="none" w:sz="0" w:space="0" w:color="auto"/>
        <w:right w:val="none" w:sz="0" w:space="0" w:color="auto"/>
      </w:divBdr>
    </w:div>
    <w:div w:id="910887754">
      <w:bodyDiv w:val="1"/>
      <w:marLeft w:val="0"/>
      <w:marRight w:val="0"/>
      <w:marTop w:val="0"/>
      <w:marBottom w:val="0"/>
      <w:divBdr>
        <w:top w:val="none" w:sz="0" w:space="0" w:color="auto"/>
        <w:left w:val="none" w:sz="0" w:space="0" w:color="auto"/>
        <w:bottom w:val="none" w:sz="0" w:space="0" w:color="auto"/>
        <w:right w:val="none" w:sz="0" w:space="0" w:color="auto"/>
      </w:divBdr>
    </w:div>
    <w:div w:id="922186439">
      <w:bodyDiv w:val="1"/>
      <w:marLeft w:val="0"/>
      <w:marRight w:val="0"/>
      <w:marTop w:val="0"/>
      <w:marBottom w:val="0"/>
      <w:divBdr>
        <w:top w:val="none" w:sz="0" w:space="0" w:color="auto"/>
        <w:left w:val="none" w:sz="0" w:space="0" w:color="auto"/>
        <w:bottom w:val="none" w:sz="0" w:space="0" w:color="auto"/>
        <w:right w:val="none" w:sz="0" w:space="0" w:color="auto"/>
      </w:divBdr>
    </w:div>
    <w:div w:id="956327848">
      <w:bodyDiv w:val="1"/>
      <w:marLeft w:val="0"/>
      <w:marRight w:val="0"/>
      <w:marTop w:val="0"/>
      <w:marBottom w:val="0"/>
      <w:divBdr>
        <w:top w:val="none" w:sz="0" w:space="0" w:color="auto"/>
        <w:left w:val="none" w:sz="0" w:space="0" w:color="auto"/>
        <w:bottom w:val="none" w:sz="0" w:space="0" w:color="auto"/>
        <w:right w:val="none" w:sz="0" w:space="0" w:color="auto"/>
      </w:divBdr>
    </w:div>
    <w:div w:id="1005598996">
      <w:bodyDiv w:val="1"/>
      <w:marLeft w:val="0"/>
      <w:marRight w:val="0"/>
      <w:marTop w:val="0"/>
      <w:marBottom w:val="0"/>
      <w:divBdr>
        <w:top w:val="none" w:sz="0" w:space="0" w:color="auto"/>
        <w:left w:val="none" w:sz="0" w:space="0" w:color="auto"/>
        <w:bottom w:val="none" w:sz="0" w:space="0" w:color="auto"/>
        <w:right w:val="none" w:sz="0" w:space="0" w:color="auto"/>
      </w:divBdr>
    </w:div>
    <w:div w:id="1118137469">
      <w:bodyDiv w:val="1"/>
      <w:marLeft w:val="0"/>
      <w:marRight w:val="0"/>
      <w:marTop w:val="0"/>
      <w:marBottom w:val="0"/>
      <w:divBdr>
        <w:top w:val="none" w:sz="0" w:space="0" w:color="auto"/>
        <w:left w:val="none" w:sz="0" w:space="0" w:color="auto"/>
        <w:bottom w:val="none" w:sz="0" w:space="0" w:color="auto"/>
        <w:right w:val="none" w:sz="0" w:space="0" w:color="auto"/>
      </w:divBdr>
    </w:div>
    <w:div w:id="1222906145">
      <w:bodyDiv w:val="1"/>
      <w:marLeft w:val="0"/>
      <w:marRight w:val="0"/>
      <w:marTop w:val="0"/>
      <w:marBottom w:val="0"/>
      <w:divBdr>
        <w:top w:val="none" w:sz="0" w:space="0" w:color="auto"/>
        <w:left w:val="none" w:sz="0" w:space="0" w:color="auto"/>
        <w:bottom w:val="none" w:sz="0" w:space="0" w:color="auto"/>
        <w:right w:val="none" w:sz="0" w:space="0" w:color="auto"/>
      </w:divBdr>
    </w:div>
    <w:div w:id="1258059414">
      <w:bodyDiv w:val="1"/>
      <w:marLeft w:val="0"/>
      <w:marRight w:val="0"/>
      <w:marTop w:val="0"/>
      <w:marBottom w:val="0"/>
      <w:divBdr>
        <w:top w:val="none" w:sz="0" w:space="0" w:color="auto"/>
        <w:left w:val="none" w:sz="0" w:space="0" w:color="auto"/>
        <w:bottom w:val="none" w:sz="0" w:space="0" w:color="auto"/>
        <w:right w:val="none" w:sz="0" w:space="0" w:color="auto"/>
      </w:divBdr>
    </w:div>
    <w:div w:id="1260259669">
      <w:bodyDiv w:val="1"/>
      <w:marLeft w:val="0"/>
      <w:marRight w:val="0"/>
      <w:marTop w:val="0"/>
      <w:marBottom w:val="0"/>
      <w:divBdr>
        <w:top w:val="none" w:sz="0" w:space="0" w:color="auto"/>
        <w:left w:val="none" w:sz="0" w:space="0" w:color="auto"/>
        <w:bottom w:val="none" w:sz="0" w:space="0" w:color="auto"/>
        <w:right w:val="none" w:sz="0" w:space="0" w:color="auto"/>
      </w:divBdr>
    </w:div>
    <w:div w:id="1261374152">
      <w:bodyDiv w:val="1"/>
      <w:marLeft w:val="0"/>
      <w:marRight w:val="0"/>
      <w:marTop w:val="0"/>
      <w:marBottom w:val="0"/>
      <w:divBdr>
        <w:top w:val="none" w:sz="0" w:space="0" w:color="auto"/>
        <w:left w:val="none" w:sz="0" w:space="0" w:color="auto"/>
        <w:bottom w:val="none" w:sz="0" w:space="0" w:color="auto"/>
        <w:right w:val="none" w:sz="0" w:space="0" w:color="auto"/>
      </w:divBdr>
    </w:div>
    <w:div w:id="1270090796">
      <w:bodyDiv w:val="1"/>
      <w:marLeft w:val="0"/>
      <w:marRight w:val="0"/>
      <w:marTop w:val="0"/>
      <w:marBottom w:val="0"/>
      <w:divBdr>
        <w:top w:val="none" w:sz="0" w:space="0" w:color="auto"/>
        <w:left w:val="none" w:sz="0" w:space="0" w:color="auto"/>
        <w:bottom w:val="none" w:sz="0" w:space="0" w:color="auto"/>
        <w:right w:val="none" w:sz="0" w:space="0" w:color="auto"/>
      </w:divBdr>
    </w:div>
    <w:div w:id="1335837002">
      <w:bodyDiv w:val="1"/>
      <w:marLeft w:val="0"/>
      <w:marRight w:val="0"/>
      <w:marTop w:val="0"/>
      <w:marBottom w:val="0"/>
      <w:divBdr>
        <w:top w:val="none" w:sz="0" w:space="0" w:color="auto"/>
        <w:left w:val="none" w:sz="0" w:space="0" w:color="auto"/>
        <w:bottom w:val="none" w:sz="0" w:space="0" w:color="auto"/>
        <w:right w:val="none" w:sz="0" w:space="0" w:color="auto"/>
      </w:divBdr>
    </w:div>
    <w:div w:id="1369990932">
      <w:bodyDiv w:val="1"/>
      <w:marLeft w:val="0"/>
      <w:marRight w:val="0"/>
      <w:marTop w:val="0"/>
      <w:marBottom w:val="0"/>
      <w:divBdr>
        <w:top w:val="none" w:sz="0" w:space="0" w:color="auto"/>
        <w:left w:val="none" w:sz="0" w:space="0" w:color="auto"/>
        <w:bottom w:val="none" w:sz="0" w:space="0" w:color="auto"/>
        <w:right w:val="none" w:sz="0" w:space="0" w:color="auto"/>
      </w:divBdr>
    </w:div>
    <w:div w:id="1379159497">
      <w:bodyDiv w:val="1"/>
      <w:marLeft w:val="0"/>
      <w:marRight w:val="0"/>
      <w:marTop w:val="0"/>
      <w:marBottom w:val="0"/>
      <w:divBdr>
        <w:top w:val="none" w:sz="0" w:space="0" w:color="auto"/>
        <w:left w:val="none" w:sz="0" w:space="0" w:color="auto"/>
        <w:bottom w:val="none" w:sz="0" w:space="0" w:color="auto"/>
        <w:right w:val="none" w:sz="0" w:space="0" w:color="auto"/>
      </w:divBdr>
    </w:div>
    <w:div w:id="1590237896">
      <w:bodyDiv w:val="1"/>
      <w:marLeft w:val="0"/>
      <w:marRight w:val="0"/>
      <w:marTop w:val="0"/>
      <w:marBottom w:val="0"/>
      <w:divBdr>
        <w:top w:val="none" w:sz="0" w:space="0" w:color="auto"/>
        <w:left w:val="none" w:sz="0" w:space="0" w:color="auto"/>
        <w:bottom w:val="none" w:sz="0" w:space="0" w:color="auto"/>
        <w:right w:val="none" w:sz="0" w:space="0" w:color="auto"/>
      </w:divBdr>
    </w:div>
    <w:div w:id="1592003927">
      <w:bodyDiv w:val="1"/>
      <w:marLeft w:val="0"/>
      <w:marRight w:val="0"/>
      <w:marTop w:val="0"/>
      <w:marBottom w:val="0"/>
      <w:divBdr>
        <w:top w:val="none" w:sz="0" w:space="0" w:color="auto"/>
        <w:left w:val="none" w:sz="0" w:space="0" w:color="auto"/>
        <w:bottom w:val="none" w:sz="0" w:space="0" w:color="auto"/>
        <w:right w:val="none" w:sz="0" w:space="0" w:color="auto"/>
      </w:divBdr>
    </w:div>
    <w:div w:id="1611161322">
      <w:bodyDiv w:val="1"/>
      <w:marLeft w:val="0"/>
      <w:marRight w:val="0"/>
      <w:marTop w:val="0"/>
      <w:marBottom w:val="0"/>
      <w:divBdr>
        <w:top w:val="none" w:sz="0" w:space="0" w:color="auto"/>
        <w:left w:val="none" w:sz="0" w:space="0" w:color="auto"/>
        <w:bottom w:val="none" w:sz="0" w:space="0" w:color="auto"/>
        <w:right w:val="none" w:sz="0" w:space="0" w:color="auto"/>
      </w:divBdr>
    </w:div>
    <w:div w:id="1667442960">
      <w:bodyDiv w:val="1"/>
      <w:marLeft w:val="0"/>
      <w:marRight w:val="0"/>
      <w:marTop w:val="0"/>
      <w:marBottom w:val="0"/>
      <w:divBdr>
        <w:top w:val="none" w:sz="0" w:space="0" w:color="auto"/>
        <w:left w:val="none" w:sz="0" w:space="0" w:color="auto"/>
        <w:bottom w:val="none" w:sz="0" w:space="0" w:color="auto"/>
        <w:right w:val="none" w:sz="0" w:space="0" w:color="auto"/>
      </w:divBdr>
    </w:div>
    <w:div w:id="1677918681">
      <w:bodyDiv w:val="1"/>
      <w:marLeft w:val="0"/>
      <w:marRight w:val="0"/>
      <w:marTop w:val="0"/>
      <w:marBottom w:val="0"/>
      <w:divBdr>
        <w:top w:val="none" w:sz="0" w:space="0" w:color="auto"/>
        <w:left w:val="none" w:sz="0" w:space="0" w:color="auto"/>
        <w:bottom w:val="none" w:sz="0" w:space="0" w:color="auto"/>
        <w:right w:val="none" w:sz="0" w:space="0" w:color="auto"/>
      </w:divBdr>
    </w:div>
    <w:div w:id="1737194124">
      <w:bodyDiv w:val="1"/>
      <w:marLeft w:val="0"/>
      <w:marRight w:val="0"/>
      <w:marTop w:val="0"/>
      <w:marBottom w:val="0"/>
      <w:divBdr>
        <w:top w:val="none" w:sz="0" w:space="0" w:color="auto"/>
        <w:left w:val="none" w:sz="0" w:space="0" w:color="auto"/>
        <w:bottom w:val="none" w:sz="0" w:space="0" w:color="auto"/>
        <w:right w:val="none" w:sz="0" w:space="0" w:color="auto"/>
      </w:divBdr>
    </w:div>
    <w:div w:id="1740786458">
      <w:bodyDiv w:val="1"/>
      <w:marLeft w:val="0"/>
      <w:marRight w:val="0"/>
      <w:marTop w:val="0"/>
      <w:marBottom w:val="0"/>
      <w:divBdr>
        <w:top w:val="none" w:sz="0" w:space="0" w:color="auto"/>
        <w:left w:val="none" w:sz="0" w:space="0" w:color="auto"/>
        <w:bottom w:val="none" w:sz="0" w:space="0" w:color="auto"/>
        <w:right w:val="none" w:sz="0" w:space="0" w:color="auto"/>
      </w:divBdr>
    </w:div>
    <w:div w:id="1771045147">
      <w:bodyDiv w:val="1"/>
      <w:marLeft w:val="0"/>
      <w:marRight w:val="0"/>
      <w:marTop w:val="0"/>
      <w:marBottom w:val="0"/>
      <w:divBdr>
        <w:top w:val="none" w:sz="0" w:space="0" w:color="auto"/>
        <w:left w:val="none" w:sz="0" w:space="0" w:color="auto"/>
        <w:bottom w:val="none" w:sz="0" w:space="0" w:color="auto"/>
        <w:right w:val="none" w:sz="0" w:space="0" w:color="auto"/>
      </w:divBdr>
      <w:divsChild>
        <w:div w:id="2098398665">
          <w:marLeft w:val="547"/>
          <w:marRight w:val="0"/>
          <w:marTop w:val="120"/>
          <w:marBottom w:val="0"/>
          <w:divBdr>
            <w:top w:val="none" w:sz="0" w:space="0" w:color="auto"/>
            <w:left w:val="none" w:sz="0" w:space="0" w:color="auto"/>
            <w:bottom w:val="none" w:sz="0" w:space="0" w:color="auto"/>
            <w:right w:val="none" w:sz="0" w:space="0" w:color="auto"/>
          </w:divBdr>
        </w:div>
      </w:divsChild>
    </w:div>
    <w:div w:id="1808208088">
      <w:bodyDiv w:val="1"/>
      <w:marLeft w:val="0"/>
      <w:marRight w:val="0"/>
      <w:marTop w:val="0"/>
      <w:marBottom w:val="0"/>
      <w:divBdr>
        <w:top w:val="none" w:sz="0" w:space="0" w:color="auto"/>
        <w:left w:val="none" w:sz="0" w:space="0" w:color="auto"/>
        <w:bottom w:val="none" w:sz="0" w:space="0" w:color="auto"/>
        <w:right w:val="none" w:sz="0" w:space="0" w:color="auto"/>
      </w:divBdr>
    </w:div>
    <w:div w:id="1853758649">
      <w:bodyDiv w:val="1"/>
      <w:marLeft w:val="0"/>
      <w:marRight w:val="0"/>
      <w:marTop w:val="0"/>
      <w:marBottom w:val="0"/>
      <w:divBdr>
        <w:top w:val="none" w:sz="0" w:space="0" w:color="auto"/>
        <w:left w:val="none" w:sz="0" w:space="0" w:color="auto"/>
        <w:bottom w:val="none" w:sz="0" w:space="0" w:color="auto"/>
        <w:right w:val="none" w:sz="0" w:space="0" w:color="auto"/>
      </w:divBdr>
    </w:div>
    <w:div w:id="2011713834">
      <w:bodyDiv w:val="1"/>
      <w:marLeft w:val="0"/>
      <w:marRight w:val="0"/>
      <w:marTop w:val="0"/>
      <w:marBottom w:val="0"/>
      <w:divBdr>
        <w:top w:val="none" w:sz="0" w:space="0" w:color="auto"/>
        <w:left w:val="none" w:sz="0" w:space="0" w:color="auto"/>
        <w:bottom w:val="none" w:sz="0" w:space="0" w:color="auto"/>
        <w:right w:val="none" w:sz="0" w:space="0" w:color="auto"/>
      </w:divBdr>
    </w:div>
    <w:div w:id="2037809043">
      <w:bodyDiv w:val="1"/>
      <w:marLeft w:val="0"/>
      <w:marRight w:val="0"/>
      <w:marTop w:val="0"/>
      <w:marBottom w:val="0"/>
      <w:divBdr>
        <w:top w:val="none" w:sz="0" w:space="0" w:color="auto"/>
        <w:left w:val="none" w:sz="0" w:space="0" w:color="auto"/>
        <w:bottom w:val="none" w:sz="0" w:space="0" w:color="auto"/>
        <w:right w:val="none" w:sz="0" w:space="0" w:color="auto"/>
      </w:divBdr>
    </w:div>
    <w:div w:id="2059939761">
      <w:bodyDiv w:val="1"/>
      <w:marLeft w:val="0"/>
      <w:marRight w:val="0"/>
      <w:marTop w:val="0"/>
      <w:marBottom w:val="0"/>
      <w:divBdr>
        <w:top w:val="none" w:sz="0" w:space="0" w:color="auto"/>
        <w:left w:val="none" w:sz="0" w:space="0" w:color="auto"/>
        <w:bottom w:val="none" w:sz="0" w:space="0" w:color="auto"/>
        <w:right w:val="none" w:sz="0" w:space="0" w:color="auto"/>
      </w:divBdr>
    </w:div>
    <w:div w:id="21185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DC75-4ADC-4551-B515-D70661DB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5505</Words>
  <Characters>29028</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Title of Paper</vt:lpstr>
    </vt:vector>
  </TitlesOfParts>
  <Company>Oxfordshire County Council</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TraWe</dc:creator>
  <cp:keywords/>
  <cp:lastModifiedBy>White, Suzanne - Oxfordshire County Council</cp:lastModifiedBy>
  <cp:revision>2</cp:revision>
  <cp:lastPrinted>2020-01-10T12:17:00Z</cp:lastPrinted>
  <dcterms:created xsi:type="dcterms:W3CDTF">2024-02-07T09:33:00Z</dcterms:created>
  <dcterms:modified xsi:type="dcterms:W3CDTF">2024-02-07T09:33:00Z</dcterms:modified>
</cp:coreProperties>
</file>