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E6C0" w14:textId="77777777" w:rsidR="00505EDA" w:rsidRDefault="00505EDA" w:rsidP="00AF5729">
      <w:pPr>
        <w:jc w:val="center"/>
        <w:rPr>
          <w:b/>
          <w:sz w:val="32"/>
        </w:rPr>
      </w:pPr>
      <w:bookmarkStart w:id="0" w:name="_GoBack"/>
      <w:bookmarkEnd w:id="0"/>
    </w:p>
    <w:p w14:paraId="5CFCA4C7" w14:textId="0AE4FA16" w:rsidR="00FD3A85" w:rsidRDefault="00A0370F" w:rsidP="00AF5729">
      <w:pPr>
        <w:jc w:val="center"/>
        <w:rPr>
          <w:b/>
          <w:sz w:val="32"/>
        </w:rPr>
      </w:pPr>
      <w:r w:rsidRPr="00A0370F">
        <w:rPr>
          <w:b/>
          <w:sz w:val="32"/>
        </w:rPr>
        <w:t>Universal Provision for S</w:t>
      </w:r>
      <w:r w:rsidR="00AA40EF">
        <w:rPr>
          <w:b/>
          <w:sz w:val="32"/>
        </w:rPr>
        <w:t xml:space="preserve">peech, </w:t>
      </w:r>
      <w:r w:rsidRPr="00A0370F">
        <w:rPr>
          <w:b/>
          <w:sz w:val="32"/>
        </w:rPr>
        <w:t>L</w:t>
      </w:r>
      <w:r w:rsidR="00AA40EF">
        <w:rPr>
          <w:b/>
          <w:sz w:val="32"/>
        </w:rPr>
        <w:t xml:space="preserve">anguage and </w:t>
      </w:r>
      <w:r w:rsidR="00AA40EF" w:rsidRPr="00A0370F">
        <w:rPr>
          <w:b/>
          <w:sz w:val="32"/>
        </w:rPr>
        <w:t>C</w:t>
      </w:r>
      <w:r w:rsidR="00AA40EF">
        <w:rPr>
          <w:b/>
          <w:sz w:val="32"/>
        </w:rPr>
        <w:t xml:space="preserve">ommunication </w:t>
      </w:r>
      <w:r w:rsidRPr="00A0370F">
        <w:rPr>
          <w:b/>
          <w:sz w:val="32"/>
        </w:rPr>
        <w:t>N</w:t>
      </w:r>
      <w:r w:rsidR="00AA40EF">
        <w:rPr>
          <w:b/>
          <w:sz w:val="32"/>
        </w:rPr>
        <w:t>eeds</w:t>
      </w:r>
    </w:p>
    <w:p w14:paraId="634A49F2" w14:textId="77777777" w:rsidR="00A0370F" w:rsidRDefault="00A0370F" w:rsidP="00A0370F">
      <w:pPr>
        <w:jc w:val="center"/>
        <w:rPr>
          <w:b/>
          <w:sz w:val="32"/>
        </w:rPr>
      </w:pPr>
    </w:p>
    <w:p w14:paraId="3403B915" w14:textId="3C1B9796" w:rsidR="00987C0F" w:rsidRDefault="00A0370F" w:rsidP="00A0370F">
      <w:pPr>
        <w:rPr>
          <w:b/>
        </w:rPr>
      </w:pPr>
      <w:r w:rsidRPr="00A0370F">
        <w:rPr>
          <w:b/>
        </w:rPr>
        <w:t>Developing a communication supporting environment</w:t>
      </w:r>
      <w:r>
        <w:rPr>
          <w:b/>
        </w:rPr>
        <w:t>:</w:t>
      </w:r>
      <w:r w:rsidR="00987C0F" w:rsidRPr="00987C0F">
        <w:t xml:space="preserve"> </w:t>
      </w:r>
      <w:hyperlink r:id="rId10" w:history="1">
        <w:r w:rsidR="00987C0F">
          <w:rPr>
            <w:rStyle w:val="Hyperlink"/>
            <w:b/>
          </w:rPr>
          <w:t>(</w:t>
        </w:r>
        <w:proofErr w:type="spellStart"/>
        <w:r w:rsidR="00987C0F">
          <w:rPr>
            <w:rStyle w:val="Hyperlink"/>
            <w:b/>
          </w:rPr>
          <w:t>Dockrell</w:t>
        </w:r>
        <w:proofErr w:type="spellEnd"/>
        <w:r w:rsidR="00987C0F">
          <w:rPr>
            <w:rStyle w:val="Hyperlink"/>
            <w:b/>
          </w:rPr>
          <w:t xml:space="preserve">, </w:t>
        </w:r>
        <w:proofErr w:type="spellStart"/>
        <w:r w:rsidR="00987C0F">
          <w:rPr>
            <w:rStyle w:val="Hyperlink"/>
            <w:b/>
          </w:rPr>
          <w:t>Bakopoulou</w:t>
        </w:r>
        <w:proofErr w:type="spellEnd"/>
        <w:r w:rsidR="00987C0F">
          <w:rPr>
            <w:rStyle w:val="Hyperlink"/>
            <w:b/>
          </w:rPr>
          <w:t>, Law, Spencer &amp; Lindsay)</w:t>
        </w:r>
      </w:hyperlink>
    </w:p>
    <w:p w14:paraId="0DE03140" w14:textId="77777777" w:rsidR="00987C0F" w:rsidRPr="00987C0F" w:rsidRDefault="003D2D41" w:rsidP="003D2D41">
      <w:pPr>
        <w:pStyle w:val="Quote"/>
      </w:pPr>
      <w:r>
        <w:t>“</w:t>
      </w:r>
      <w:r w:rsidR="00987C0F" w:rsidRPr="00987C0F">
        <w:t>Activities to scaffold language development need to be provided in a regular and</w:t>
      </w:r>
      <w:r w:rsidR="00987C0F">
        <w:t xml:space="preserve"> </w:t>
      </w:r>
      <w:r w:rsidR="00987C0F" w:rsidRPr="00987C0F">
        <w:t>deliberate manner. These experiences should include more advanced language</w:t>
      </w:r>
      <w:r>
        <w:t xml:space="preserve"> </w:t>
      </w:r>
      <w:r w:rsidR="00987C0F" w:rsidRPr="00987C0F">
        <w:t>learning interactions that have been shown to develop oral language, including</w:t>
      </w:r>
      <w:r>
        <w:t xml:space="preserve"> </w:t>
      </w:r>
      <w:r w:rsidR="00987C0F" w:rsidRPr="00987C0F">
        <w:t>grammatical skills, vocabulary and narrative. Together, these techniques constitute</w:t>
      </w:r>
      <w:r>
        <w:t xml:space="preserve"> </w:t>
      </w:r>
      <w:r w:rsidR="00987C0F" w:rsidRPr="00987C0F">
        <w:t>high-quality verbal input by adults.</w:t>
      </w:r>
    </w:p>
    <w:p w14:paraId="6CCE16D3" w14:textId="77777777" w:rsidR="00987C0F" w:rsidRPr="00987C0F" w:rsidRDefault="00987C0F" w:rsidP="003D2D41">
      <w:pPr>
        <w:pStyle w:val="Quote"/>
      </w:pPr>
      <w:r w:rsidRPr="00987C0F">
        <w:t>All school staff should fully understand, appreciate and develop quality use of these</w:t>
      </w:r>
      <w:r w:rsidR="003D2D41">
        <w:t xml:space="preserve"> </w:t>
      </w:r>
      <w:r w:rsidRPr="00987C0F">
        <w:t>language learning interaction techniques</w:t>
      </w:r>
      <w:r w:rsidR="003D2D41">
        <w:t>.” (p8)</w:t>
      </w:r>
    </w:p>
    <w:p w14:paraId="394E8DCB" w14:textId="77777777" w:rsidR="00987C0F" w:rsidRDefault="00987C0F" w:rsidP="00A0370F">
      <w:pPr>
        <w:rPr>
          <w:b/>
        </w:rPr>
      </w:pPr>
    </w:p>
    <w:p w14:paraId="15A28961" w14:textId="77777777" w:rsidR="00A0370F" w:rsidRPr="008C2FED" w:rsidRDefault="00A0370F" w:rsidP="00A0370F">
      <w:pPr>
        <w:rPr>
          <w:b/>
          <w:i/>
        </w:rPr>
      </w:pPr>
      <w:r w:rsidRPr="008C2FED">
        <w:rPr>
          <w:b/>
          <w:i/>
        </w:rPr>
        <w:t>A communication-supporting classroom needs:</w:t>
      </w:r>
    </w:p>
    <w:p w14:paraId="177CFF8B" w14:textId="77777777" w:rsidR="00A0370F" w:rsidRDefault="00A0370F" w:rsidP="00A0370F">
      <w:pPr>
        <w:pStyle w:val="ListParagraph"/>
        <w:numPr>
          <w:ilvl w:val="0"/>
          <w:numId w:val="1"/>
        </w:numPr>
        <w:rPr>
          <w:b/>
        </w:rPr>
      </w:pPr>
      <w:r w:rsidRPr="00987C0F">
        <w:rPr>
          <w:b/>
        </w:rPr>
        <w:t>A</w:t>
      </w:r>
      <w:r w:rsidR="00987C0F">
        <w:rPr>
          <w:b/>
        </w:rPr>
        <w:t xml:space="preserve">n effective </w:t>
      </w:r>
      <w:r w:rsidRPr="00987C0F">
        <w:rPr>
          <w:b/>
        </w:rPr>
        <w:t xml:space="preserve">language learning environment </w:t>
      </w:r>
    </w:p>
    <w:p w14:paraId="31643EE7" w14:textId="77777777" w:rsidR="008C2FED" w:rsidRDefault="008C2FED" w:rsidP="008C2FED">
      <w:pPr>
        <w:pStyle w:val="ListParagraph"/>
      </w:pPr>
      <w:r>
        <w:t>An effective language learning environment is one in which “highly focused everyday personalised and interactive teaching takes place” (p10)</w:t>
      </w:r>
    </w:p>
    <w:p w14:paraId="6DCE01BA" w14:textId="77777777" w:rsidR="008C2FED" w:rsidRPr="008C2FED" w:rsidRDefault="008C2FED" w:rsidP="008C2FED">
      <w:pPr>
        <w:pStyle w:val="ListParagraph"/>
      </w:pPr>
    </w:p>
    <w:p w14:paraId="1325264C" w14:textId="77777777" w:rsidR="00A0370F" w:rsidRDefault="00A0370F" w:rsidP="00987C0F">
      <w:pPr>
        <w:pStyle w:val="ListParagraph"/>
      </w:pPr>
      <w:r>
        <w:t>ICAN has derived general strategies that</w:t>
      </w:r>
      <w:r w:rsidR="00987C0F">
        <w:t xml:space="preserve"> </w:t>
      </w:r>
      <w:r>
        <w:t>can be used to support schools become “Communication Friendly”. These include:</w:t>
      </w:r>
    </w:p>
    <w:p w14:paraId="133AF07A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An audit of the environment (www.ican.org.uk/talkingpoint, Primary National Strategy:</w:t>
      </w:r>
      <w:r w:rsidR="00987C0F">
        <w:t xml:space="preserve"> </w:t>
      </w:r>
      <w:r>
        <w:t>Speaking, Listening, Learning).</w:t>
      </w:r>
    </w:p>
    <w:p w14:paraId="57283B01" w14:textId="77777777" w:rsidR="00A0370F" w:rsidRDefault="00A0370F" w:rsidP="003D2D41">
      <w:pPr>
        <w:pStyle w:val="ListParagraph"/>
        <w:numPr>
          <w:ilvl w:val="0"/>
          <w:numId w:val="3"/>
        </w:numPr>
      </w:pPr>
      <w:r>
        <w:t>Improving knowledge of language development, the language skills of individuals and</w:t>
      </w:r>
      <w:r w:rsidR="00987C0F">
        <w:t xml:space="preserve"> </w:t>
      </w:r>
      <w:r>
        <w:t>the language demands of the environment (Martin &amp; Miller, 1999).</w:t>
      </w:r>
    </w:p>
    <w:p w14:paraId="3D6C8887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Adapting adult language so that it is not a barrier to learning.</w:t>
      </w:r>
    </w:p>
    <w:p w14:paraId="07BE83DB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Facilitating communicative opportunities for children to interact appropriately with a</w:t>
      </w:r>
      <w:r w:rsidR="00987C0F">
        <w:t xml:space="preserve"> </w:t>
      </w:r>
      <w:r>
        <w:t>range of individuals</w:t>
      </w:r>
    </w:p>
    <w:p w14:paraId="32D50FBF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Creating an ethos where it is acceptable ‘not to know’ and teaching children how to</w:t>
      </w:r>
      <w:r w:rsidR="00987C0F">
        <w:t xml:space="preserve"> </w:t>
      </w:r>
      <w:r>
        <w:t>monitor their own understanding.</w:t>
      </w:r>
    </w:p>
    <w:p w14:paraId="32C9EC27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Raising children’s awareness of their strengths and needs.</w:t>
      </w:r>
    </w:p>
    <w:p w14:paraId="07755EE0" w14:textId="77777777" w:rsidR="00A0370F" w:rsidRDefault="00A0370F" w:rsidP="00987C0F">
      <w:pPr>
        <w:pStyle w:val="ListParagraph"/>
        <w:numPr>
          <w:ilvl w:val="0"/>
          <w:numId w:val="3"/>
        </w:numPr>
      </w:pPr>
      <w:r>
        <w:t>Careful planning and information sharing, particularly at times of transition.</w:t>
      </w:r>
    </w:p>
    <w:p w14:paraId="3CC56E86" w14:textId="77777777" w:rsidR="00987C0F" w:rsidRDefault="00987C0F" w:rsidP="00987C0F">
      <w:pPr>
        <w:pStyle w:val="ListParagraph"/>
      </w:pPr>
    </w:p>
    <w:p w14:paraId="7D2DD887" w14:textId="77777777" w:rsidR="00A0370F" w:rsidRDefault="00A0370F" w:rsidP="00987C0F">
      <w:pPr>
        <w:pStyle w:val="ListParagraph"/>
        <w:numPr>
          <w:ilvl w:val="0"/>
          <w:numId w:val="1"/>
        </w:numPr>
        <w:rPr>
          <w:b/>
        </w:rPr>
      </w:pPr>
      <w:r w:rsidRPr="00987C0F">
        <w:rPr>
          <w:b/>
        </w:rPr>
        <w:t>Language learning opportunities</w:t>
      </w:r>
      <w:r w:rsidR="00987C0F">
        <w:rPr>
          <w:b/>
        </w:rPr>
        <w:t>: these are the structured opportunities for language development. They should include:</w:t>
      </w:r>
    </w:p>
    <w:p w14:paraId="62D8A8AE" w14:textId="77777777" w:rsidR="00987C0F" w:rsidRDefault="00987C0F" w:rsidP="00987C0F">
      <w:pPr>
        <w:pStyle w:val="ListParagraph"/>
        <w:numPr>
          <w:ilvl w:val="1"/>
          <w:numId w:val="1"/>
        </w:numPr>
      </w:pPr>
      <w:r w:rsidRPr="00987C0F">
        <w:t xml:space="preserve">Small group work </w:t>
      </w:r>
      <w:r>
        <w:t>and paired discussion facilitated by adults</w:t>
      </w:r>
      <w:r w:rsidR="008C2FED">
        <w:t xml:space="preserve"> in which all children are encouraged to participate </w:t>
      </w:r>
    </w:p>
    <w:p w14:paraId="2CCBFBF2" w14:textId="77777777" w:rsidR="00987C0F" w:rsidRDefault="00987C0F" w:rsidP="00987C0F">
      <w:pPr>
        <w:pStyle w:val="ListParagraph"/>
        <w:numPr>
          <w:ilvl w:val="1"/>
          <w:numId w:val="1"/>
        </w:numPr>
      </w:pPr>
      <w:r>
        <w:t xml:space="preserve">Interactive reading sessions with younger children </w:t>
      </w:r>
      <w:r w:rsidR="008C2FED">
        <w:t xml:space="preserve">that generate discussion </w:t>
      </w:r>
    </w:p>
    <w:p w14:paraId="288D3980" w14:textId="77777777" w:rsidR="008C2FED" w:rsidRPr="00987C0F" w:rsidRDefault="008C2FED" w:rsidP="00987C0F">
      <w:pPr>
        <w:pStyle w:val="ListParagraph"/>
        <w:numPr>
          <w:ilvl w:val="1"/>
          <w:numId w:val="1"/>
        </w:numPr>
      </w:pPr>
      <w:r>
        <w:t xml:space="preserve">Positive social interactions with adults who have stronger language skills in which the adult is deliberately scaffolds the child’s communication skills </w:t>
      </w:r>
    </w:p>
    <w:p w14:paraId="4CE39B05" w14:textId="77777777" w:rsidR="00987C0F" w:rsidRDefault="00987C0F" w:rsidP="00A0370F"/>
    <w:p w14:paraId="6B6D345A" w14:textId="77777777" w:rsidR="00505EDA" w:rsidRDefault="00505EDA" w:rsidP="00505EDA">
      <w:pPr>
        <w:pStyle w:val="ListParagraph"/>
        <w:rPr>
          <w:b/>
        </w:rPr>
      </w:pPr>
    </w:p>
    <w:p w14:paraId="254155EC" w14:textId="77777777" w:rsidR="00505EDA" w:rsidRDefault="00505EDA" w:rsidP="00505EDA">
      <w:pPr>
        <w:pStyle w:val="ListParagraph"/>
        <w:rPr>
          <w:b/>
        </w:rPr>
      </w:pPr>
    </w:p>
    <w:p w14:paraId="098D4035" w14:textId="77777777" w:rsidR="00505EDA" w:rsidRDefault="00505EDA" w:rsidP="00505EDA">
      <w:pPr>
        <w:pStyle w:val="ListParagraph"/>
        <w:rPr>
          <w:b/>
        </w:rPr>
      </w:pPr>
    </w:p>
    <w:p w14:paraId="52BEFF82" w14:textId="568A0FCE" w:rsidR="00A0370F" w:rsidRPr="00987C0F" w:rsidRDefault="00A0370F" w:rsidP="00A0370F">
      <w:pPr>
        <w:pStyle w:val="ListParagraph"/>
        <w:numPr>
          <w:ilvl w:val="0"/>
          <w:numId w:val="1"/>
        </w:numPr>
        <w:rPr>
          <w:b/>
        </w:rPr>
      </w:pPr>
      <w:r w:rsidRPr="00987C0F">
        <w:rPr>
          <w:b/>
        </w:rPr>
        <w:t>Language learning interactions</w:t>
      </w:r>
      <w:r w:rsidR="00987C0F">
        <w:rPr>
          <w:b/>
        </w:rPr>
        <w:t xml:space="preserve">: how adults talk to children and young people </w:t>
      </w:r>
    </w:p>
    <w:p w14:paraId="045CFF43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using children’s names</w:t>
      </w:r>
    </w:p>
    <w:p w14:paraId="7EB9696E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 xml:space="preserve">using natural gestures </w:t>
      </w:r>
    </w:p>
    <w:p w14:paraId="2A0E94BA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confirming, imitating, using open questioning</w:t>
      </w:r>
    </w:p>
    <w:p w14:paraId="0C6C6F7A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pacing and pausing</w:t>
      </w:r>
    </w:p>
    <w:p w14:paraId="36FD4EDF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extending, modelling, encouraging use of new words</w:t>
      </w:r>
    </w:p>
    <w:p w14:paraId="2EC799A7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using contrasts</w:t>
      </w:r>
    </w:p>
    <w:p w14:paraId="3A5E70F0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supporting listening skills</w:t>
      </w:r>
    </w:p>
    <w:p w14:paraId="541F75C9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encouraging turn-taking</w:t>
      </w:r>
    </w:p>
    <w:p w14:paraId="55F68E9D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scripting</w:t>
      </w:r>
    </w:p>
    <w:p w14:paraId="6EC9FAC5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praising non-verbal communication</w:t>
      </w:r>
    </w:p>
    <w:p w14:paraId="55A63A52" w14:textId="77777777" w:rsidR="00A0370F" w:rsidRDefault="00A0370F" w:rsidP="00A0370F">
      <w:pPr>
        <w:pStyle w:val="ListParagraph"/>
        <w:numPr>
          <w:ilvl w:val="1"/>
          <w:numId w:val="1"/>
        </w:numPr>
      </w:pPr>
      <w:r>
        <w:t>providing clear language choices</w:t>
      </w:r>
    </w:p>
    <w:p w14:paraId="65184536" w14:textId="77777777" w:rsidR="00A0370F" w:rsidRPr="00A0370F" w:rsidRDefault="00A0370F" w:rsidP="00A0370F">
      <w:pPr>
        <w:pStyle w:val="ListParagraph"/>
        <w:numPr>
          <w:ilvl w:val="1"/>
          <w:numId w:val="1"/>
        </w:numPr>
        <w:rPr>
          <w:sz w:val="28"/>
        </w:rPr>
      </w:pPr>
      <w:r w:rsidRPr="00A0370F">
        <w:rPr>
          <w:szCs w:val="22"/>
        </w:rPr>
        <w:t>encouraging discussing, collaborating and problem solving</w:t>
      </w:r>
    </w:p>
    <w:p w14:paraId="6F241842" w14:textId="77777777" w:rsidR="00A0370F" w:rsidRPr="00A0370F" w:rsidRDefault="00A0370F" w:rsidP="00A0370F"/>
    <w:p w14:paraId="56C38E8A" w14:textId="77777777" w:rsidR="00A0370F" w:rsidRPr="008C2FED" w:rsidRDefault="008C2FED" w:rsidP="008C2FED">
      <w:pPr>
        <w:jc w:val="center"/>
        <w:rPr>
          <w:b/>
        </w:rPr>
      </w:pPr>
      <w:r w:rsidRPr="008C2FED">
        <w:rPr>
          <w:b/>
        </w:rPr>
        <w:t>Senior leadership should arrange r</w:t>
      </w:r>
      <w:r w:rsidR="00A0370F" w:rsidRPr="00A0370F">
        <w:rPr>
          <w:b/>
        </w:rPr>
        <w:t>egular staff training from SENSS Teams</w:t>
      </w:r>
      <w:r w:rsidR="00987C0F" w:rsidRPr="008C2FED">
        <w:rPr>
          <w:b/>
        </w:rPr>
        <w:t xml:space="preserve"> and self-audit of practice</w:t>
      </w:r>
    </w:p>
    <w:p w14:paraId="274039FF" w14:textId="77777777" w:rsidR="00A0370F" w:rsidRPr="008C2FED" w:rsidRDefault="00A0370F" w:rsidP="008C2FED">
      <w:pPr>
        <w:jc w:val="center"/>
        <w:rPr>
          <w:b/>
        </w:rPr>
      </w:pPr>
    </w:p>
    <w:p w14:paraId="65FDBAC2" w14:textId="77777777" w:rsidR="00A0370F" w:rsidRPr="00A0370F" w:rsidRDefault="00A0370F" w:rsidP="00A0370F">
      <w:pPr>
        <w:rPr>
          <w:b/>
        </w:rPr>
      </w:pPr>
    </w:p>
    <w:p w14:paraId="51F29D7C" w14:textId="77777777" w:rsidR="00A0370F" w:rsidRPr="00A0370F" w:rsidRDefault="00A0370F" w:rsidP="00A0370F">
      <w:pPr>
        <w:jc w:val="center"/>
        <w:rPr>
          <w:b/>
          <w:sz w:val="32"/>
        </w:rPr>
      </w:pPr>
    </w:p>
    <w:sectPr w:rsidR="00A0370F" w:rsidRPr="00A0370F" w:rsidSect="00505EDA">
      <w:head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7846" w14:textId="77777777" w:rsidR="00505EDA" w:rsidRDefault="00505EDA" w:rsidP="00505EDA">
      <w:r>
        <w:separator/>
      </w:r>
    </w:p>
  </w:endnote>
  <w:endnote w:type="continuationSeparator" w:id="0">
    <w:p w14:paraId="1A1A69DE" w14:textId="77777777" w:rsidR="00505EDA" w:rsidRDefault="00505EDA" w:rsidP="005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80F0" w14:textId="77777777" w:rsidR="00505EDA" w:rsidRDefault="00505EDA" w:rsidP="00505EDA">
      <w:r>
        <w:separator/>
      </w:r>
    </w:p>
  </w:footnote>
  <w:footnote w:type="continuationSeparator" w:id="0">
    <w:p w14:paraId="0775F938" w14:textId="77777777" w:rsidR="00505EDA" w:rsidRDefault="00505EDA" w:rsidP="0050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8CC7" w14:textId="099183C4" w:rsidR="00505EDA" w:rsidRDefault="00505EDA">
    <w:pPr>
      <w:pStyle w:val="Header"/>
    </w:pPr>
    <w:r>
      <w:rPr>
        <w:noProof/>
      </w:rPr>
      <w:drawing>
        <wp:inline distT="0" distB="0" distL="0" distR="0" wp14:anchorId="5739F5AC" wp14:editId="6592AF1C">
          <wp:extent cx="569880" cy="684530"/>
          <wp:effectExtent l="0" t="0" r="1905" b="127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9776B215-1B44-483E-8269-D6947D022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776B215-1B44-483E-8269-D6947D022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155" cy="69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26C9CC" wp14:editId="3AE39FA6">
          <wp:simplePos x="0" y="0"/>
          <wp:positionH relativeFrom="column">
            <wp:posOffset>5584288</wp:posOffset>
          </wp:positionH>
          <wp:positionV relativeFrom="paragraph">
            <wp:posOffset>-151520</wp:posOffset>
          </wp:positionV>
          <wp:extent cx="802384" cy="695701"/>
          <wp:effectExtent l="0" t="0" r="0" b="9525"/>
          <wp:wrapNone/>
          <wp:docPr id="9" name="Picture 9" descr="atta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ach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4" cy="69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EE543B2" wp14:editId="78EF2D53">
          <wp:extent cx="934949" cy="65151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31" cy="654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140DADA" wp14:editId="61027F94">
          <wp:extent cx="1085850" cy="4856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87" cy="583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0B21F6">
      <w:t xml:space="preserve">         </w:t>
    </w:r>
    <w:r>
      <w:t xml:space="preserve"> </w:t>
    </w:r>
    <w:r w:rsidR="000B21F6">
      <w:rPr>
        <w:noProof/>
        <w:color w:val="000000"/>
        <w:lang w:eastAsia="en-GB"/>
      </w:rPr>
      <w:drawing>
        <wp:inline distT="0" distB="0" distL="0" distR="0" wp14:anchorId="63EAA8EE" wp14:editId="73B778F1">
          <wp:extent cx="2054457" cy="40633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313" cy="42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3785"/>
    <w:multiLevelType w:val="hybridMultilevel"/>
    <w:tmpl w:val="A0D8F0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F1E1A"/>
    <w:multiLevelType w:val="hybridMultilevel"/>
    <w:tmpl w:val="3300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3165"/>
    <w:multiLevelType w:val="hybridMultilevel"/>
    <w:tmpl w:val="398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370F"/>
    <w:rsid w:val="000245D8"/>
    <w:rsid w:val="000B21F6"/>
    <w:rsid w:val="000B4310"/>
    <w:rsid w:val="002C2406"/>
    <w:rsid w:val="003D2D41"/>
    <w:rsid w:val="004000D7"/>
    <w:rsid w:val="00504E43"/>
    <w:rsid w:val="00505EDA"/>
    <w:rsid w:val="007908F4"/>
    <w:rsid w:val="008C2FED"/>
    <w:rsid w:val="00987C0F"/>
    <w:rsid w:val="00A0370F"/>
    <w:rsid w:val="00A4789F"/>
    <w:rsid w:val="00AA40EF"/>
    <w:rsid w:val="00AF572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699FD"/>
  <w15:chartTrackingRefBased/>
  <w15:docId w15:val="{AB8A5A16-96D3-4E20-884D-57ADB47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C0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D2D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D41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05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DA"/>
  </w:style>
  <w:style w:type="paragraph" w:styleId="Footer">
    <w:name w:val="footer"/>
    <w:basedOn w:val="Normal"/>
    <w:link w:val="FooterChar"/>
    <w:uiPriority w:val="99"/>
    <w:unhideWhenUsed/>
    <w:rsid w:val="0050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debbie.hewings\AppData\Local\Microsoft\Windows\INetCache\Content.Outlook\WC3VI3DF\(Dockrell,%20Bakopoulou,%20Law,%20Spencer%20&amp;%20Lindsay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2.jpg@01D71FC0.170626E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4a1ed48ba02f22c508fa196348d8d3cf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55f4a239035c164e5d488ba6e1156b02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56C5-BB75-45E2-9132-0FA4318C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C415-6D8D-4651-8634-07FD10722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ACED6-6B2C-47BA-BFD1-D493D1782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Riviere, Hester - CEF</dc:creator>
  <cp:keywords/>
  <dc:description/>
  <cp:lastModifiedBy>Hewings, Debbie - S&amp;CS</cp:lastModifiedBy>
  <cp:revision>2</cp:revision>
  <dcterms:created xsi:type="dcterms:W3CDTF">2021-06-16T10:37:00Z</dcterms:created>
  <dcterms:modified xsi:type="dcterms:W3CDTF">2021-06-16T10:37:00Z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